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autoSpaceDE w:val="0"/>
        <w:autoSpaceDN w:val="0"/>
        <w:adjustRightInd w:val="0"/>
        <w:snapToGrid w:val="0"/>
        <w:spacing w:before="100" w:beforeAutospacing="1" w:after="100" w:afterAutospacing="1" w:line="560" w:lineRule="exact"/>
        <w:jc w:val="center"/>
        <w:textAlignment w:val="baseline"/>
        <w:rPr>
          <w:rFonts w:hint="eastAsia" w:ascii="仿宋" w:hAnsi="仿宋" w:eastAsia="仿宋" w:cs="仿宋"/>
          <w:b/>
          <w:snapToGrid w:val="0"/>
          <w:color w:val="000000"/>
          <w:kern w:val="0"/>
          <w:sz w:val="44"/>
          <w:szCs w:val="44"/>
          <w:lang w:val="en-AU" w:eastAsia="en-US"/>
        </w:rPr>
      </w:pPr>
    </w:p>
    <w:p>
      <w:pPr>
        <w:pStyle w:val="2"/>
        <w:pageBreakBefore w:val="0"/>
        <w:widowControl/>
        <w:numPr>
          <w:ilvl w:val="0"/>
          <w:numId w:val="0"/>
        </w:numPr>
        <w:wordWrap/>
        <w:overflowPunct/>
        <w:topLinePunct w:val="0"/>
        <w:bidi w:val="0"/>
        <w:spacing w:line="600" w:lineRule="exact"/>
        <w:ind w:leftChars="0"/>
        <w:rPr>
          <w:rFonts w:hint="eastAsia"/>
          <w:lang w:val="en-AU" w:eastAsia="en-US"/>
        </w:rPr>
      </w:pPr>
    </w:p>
    <w:p>
      <w:pPr>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snapToGrid w:val="0"/>
          <w:color w:val="000000"/>
          <w:kern w:val="0"/>
          <w:sz w:val="44"/>
          <w:szCs w:val="44"/>
          <w:lang w:val="en-US" w:eastAsia="zh-CN"/>
        </w:rPr>
      </w:pPr>
      <w:r>
        <w:rPr>
          <w:rFonts w:hint="eastAsia" w:ascii="仿宋" w:hAnsi="仿宋" w:eastAsia="仿宋" w:cs="仿宋"/>
          <w:b/>
          <w:snapToGrid w:val="0"/>
          <w:color w:val="000000"/>
          <w:kern w:val="0"/>
          <w:sz w:val="44"/>
          <w:szCs w:val="44"/>
          <w:lang w:val="en-AU" w:eastAsia="zh-CN"/>
        </w:rPr>
        <w:t>2024年</w:t>
      </w:r>
      <w:r>
        <w:rPr>
          <w:rFonts w:hint="eastAsia" w:ascii="仿宋" w:hAnsi="仿宋" w:eastAsia="仿宋" w:cs="仿宋"/>
          <w:b/>
          <w:snapToGrid w:val="0"/>
          <w:color w:val="000000"/>
          <w:kern w:val="0"/>
          <w:sz w:val="44"/>
          <w:szCs w:val="44"/>
          <w:lang w:val="en-US" w:eastAsia="zh-CN"/>
        </w:rPr>
        <w:t>浙江省工业设计职业技能竞赛</w:t>
      </w:r>
    </w:p>
    <w:p>
      <w:pPr>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snapToGrid w:val="0"/>
          <w:color w:val="000000"/>
          <w:kern w:val="0"/>
          <w:sz w:val="44"/>
          <w:szCs w:val="44"/>
          <w:lang w:val="en-AU" w:eastAsia="zh-CN"/>
        </w:rPr>
      </w:pPr>
      <w:r>
        <w:rPr>
          <w:rFonts w:hint="eastAsia" w:ascii="仿宋" w:hAnsi="仿宋" w:eastAsia="仿宋" w:cs="仿宋"/>
          <w:b/>
          <w:snapToGrid w:val="0"/>
          <w:color w:val="000000"/>
          <w:kern w:val="0"/>
          <w:sz w:val="44"/>
          <w:szCs w:val="44"/>
          <w:lang w:val="en-US" w:eastAsia="zh-CN"/>
        </w:rPr>
        <w:t>暨</w:t>
      </w:r>
      <w:r>
        <w:rPr>
          <w:rFonts w:hint="eastAsia" w:ascii="仿宋" w:hAnsi="仿宋" w:eastAsia="仿宋" w:cs="仿宋"/>
          <w:b/>
          <w:snapToGrid w:val="0"/>
          <w:color w:val="000000"/>
          <w:kern w:val="0"/>
          <w:sz w:val="44"/>
          <w:szCs w:val="44"/>
          <w:lang w:val="en-AU" w:eastAsia="zh-CN"/>
        </w:rPr>
        <w:t>第四届全国工业设计职业技能大赛</w:t>
      </w:r>
    </w:p>
    <w:p>
      <w:pPr>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snapToGrid w:val="0"/>
          <w:color w:val="000000"/>
          <w:kern w:val="0"/>
          <w:sz w:val="44"/>
          <w:szCs w:val="44"/>
          <w:lang w:val="en-AU" w:eastAsia="zh-CN"/>
        </w:rPr>
      </w:pPr>
      <w:r>
        <w:rPr>
          <w:rFonts w:hint="eastAsia" w:ascii="仿宋" w:hAnsi="仿宋" w:eastAsia="仿宋" w:cs="仿宋"/>
          <w:b/>
          <w:snapToGrid w:val="0"/>
          <w:color w:val="000000"/>
          <w:kern w:val="0"/>
          <w:sz w:val="44"/>
          <w:szCs w:val="44"/>
          <w:lang w:val="en-AU" w:eastAsia="zh-CN"/>
        </w:rPr>
        <w:t>浙江省选拔赛竞赛规程</w:t>
      </w: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val="en-AU" w:eastAsia="en-US"/>
        </w:rPr>
      </w:pP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val="en-AU" w:eastAsia="en-US"/>
        </w:rPr>
      </w:pP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val="en-AU" w:eastAsia="en-US"/>
        </w:rPr>
      </w:pPr>
    </w:p>
    <w:p>
      <w:pPr>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snapToGrid w:val="0"/>
          <w:color w:val="000000"/>
          <w:kern w:val="0"/>
          <w:sz w:val="44"/>
          <w:szCs w:val="44"/>
          <w:lang w:val="en-US" w:eastAsia="en-US"/>
        </w:rPr>
      </w:pPr>
      <w:r>
        <w:rPr>
          <w:rFonts w:hint="eastAsia" w:ascii="仿宋" w:hAnsi="仿宋" w:eastAsia="仿宋" w:cs="仿宋"/>
          <w:b/>
          <w:snapToGrid w:val="0"/>
          <w:color w:val="000000"/>
          <w:kern w:val="0"/>
          <w:sz w:val="48"/>
          <w:szCs w:val="48"/>
          <w:lang w:val="en-AU" w:eastAsia="en-US"/>
        </w:rPr>
        <w:t>灯具设计师</w:t>
      </w: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val="en-AU" w:eastAsia="en-US"/>
        </w:rPr>
      </w:pP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eastAsia="en-US"/>
        </w:rPr>
      </w:pP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eastAsia="en-US"/>
        </w:rPr>
      </w:pP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eastAsia="en-US"/>
        </w:rPr>
      </w:pP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eastAsia="en-US"/>
        </w:rPr>
      </w:pPr>
    </w:p>
    <w:p>
      <w:pPr>
        <w:pageBreakBefore w:val="0"/>
        <w:widowControl/>
        <w:kinsoku w:val="0"/>
        <w:wordWrap/>
        <w:overflowPunct/>
        <w:topLinePunct w:val="0"/>
        <w:autoSpaceDE w:val="0"/>
        <w:autoSpaceDN w:val="0"/>
        <w:bidi w:val="0"/>
        <w:adjustRightInd w:val="0"/>
        <w:snapToGrid w:val="0"/>
        <w:spacing w:before="100" w:beforeAutospacing="1" w:after="100" w:afterAutospacing="1" w:line="600" w:lineRule="exact"/>
        <w:jc w:val="center"/>
        <w:textAlignment w:val="baseline"/>
        <w:rPr>
          <w:rFonts w:hint="eastAsia" w:ascii="仿宋" w:hAnsi="仿宋" w:eastAsia="仿宋" w:cs="仿宋"/>
          <w:b/>
          <w:snapToGrid w:val="0"/>
          <w:color w:val="000000"/>
          <w:kern w:val="0"/>
          <w:sz w:val="44"/>
          <w:szCs w:val="44"/>
          <w:lang w:eastAsia="en-US"/>
        </w:rPr>
      </w:pPr>
    </w:p>
    <w:p>
      <w:pPr>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snapToGrid w:val="0"/>
          <w:color w:val="000000"/>
          <w:kern w:val="0"/>
          <w:sz w:val="32"/>
          <w:szCs w:val="32"/>
          <w:lang w:eastAsia="en-US"/>
        </w:rPr>
      </w:pPr>
      <w:r>
        <w:rPr>
          <w:rFonts w:hint="eastAsia" w:ascii="仿宋" w:hAnsi="仿宋" w:eastAsia="仿宋" w:cs="仿宋"/>
          <w:snapToGrid w:val="0"/>
          <w:color w:val="000000"/>
          <w:kern w:val="0"/>
          <w:sz w:val="32"/>
          <w:szCs w:val="32"/>
          <w:lang w:val="en-US" w:eastAsia="zh-CN"/>
        </w:rPr>
        <w:t>大赛</w:t>
      </w:r>
      <w:r>
        <w:rPr>
          <w:rFonts w:hint="eastAsia" w:ascii="仿宋" w:hAnsi="仿宋" w:eastAsia="仿宋" w:cs="仿宋"/>
          <w:snapToGrid w:val="0"/>
          <w:color w:val="000000"/>
          <w:kern w:val="0"/>
          <w:sz w:val="32"/>
          <w:szCs w:val="32"/>
          <w:lang w:eastAsia="en-US"/>
        </w:rPr>
        <w:t>组委会</w:t>
      </w:r>
    </w:p>
    <w:p>
      <w:pPr>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cs="仿宋"/>
          <w:b/>
          <w:snapToGrid w:val="0"/>
          <w:color w:val="000000"/>
          <w:kern w:val="0"/>
          <w:sz w:val="44"/>
          <w:szCs w:val="44"/>
          <w:lang w:eastAsia="en-US"/>
        </w:rPr>
      </w:pPr>
      <w:r>
        <w:rPr>
          <w:rFonts w:hint="eastAsia" w:ascii="仿宋" w:hAnsi="仿宋" w:eastAsia="仿宋" w:cs="仿宋"/>
          <w:snapToGrid w:val="0"/>
          <w:color w:val="000000"/>
          <w:kern w:val="0"/>
          <w:sz w:val="32"/>
          <w:szCs w:val="32"/>
          <w:lang w:eastAsia="en-US"/>
        </w:rPr>
        <w:t>2024年</w:t>
      </w:r>
      <w:r>
        <w:rPr>
          <w:rFonts w:hint="eastAsia" w:ascii="仿宋" w:hAnsi="仿宋" w:eastAsia="仿宋" w:cs="仿宋"/>
          <w:snapToGrid w:val="0"/>
          <w:color w:val="000000"/>
          <w:kern w:val="0"/>
          <w:sz w:val="32"/>
          <w:szCs w:val="32"/>
          <w:lang w:val="en-US" w:eastAsia="zh-CN"/>
        </w:rPr>
        <w:t>10</w:t>
      </w:r>
      <w:r>
        <w:rPr>
          <w:rFonts w:hint="eastAsia" w:ascii="仿宋" w:hAnsi="仿宋" w:eastAsia="仿宋" w:cs="仿宋"/>
          <w:snapToGrid w:val="0"/>
          <w:color w:val="000000"/>
          <w:kern w:val="0"/>
          <w:sz w:val="32"/>
          <w:szCs w:val="32"/>
          <w:lang w:eastAsia="en-US"/>
        </w:rPr>
        <w:t>月</w:t>
      </w:r>
    </w:p>
    <w:p>
      <w:pPr>
        <w:pStyle w:val="7"/>
        <w:keepNext w:val="0"/>
        <w:keepLines w:val="0"/>
        <w:pageBreakBefore w:val="0"/>
        <w:tabs>
          <w:tab w:val="left" w:pos="1460"/>
        </w:tabs>
        <w:kinsoku/>
        <w:wordWrap/>
        <w:overflowPunct/>
        <w:topLinePunct w:val="0"/>
        <w:autoSpaceDE/>
        <w:autoSpaceDN/>
        <w:bidi w:val="0"/>
        <w:adjustRightInd/>
        <w:snapToGrid/>
        <w:spacing w:line="600" w:lineRule="exact"/>
        <w:ind w:left="0"/>
        <w:jc w:val="center"/>
        <w:textAlignment w:val="auto"/>
        <w:rPr>
          <w:rFonts w:hint="eastAsia" w:ascii="仿宋" w:hAnsi="仿宋" w:eastAsia="仿宋" w:cs="仿宋"/>
          <w:b/>
          <w:color w:val="auto"/>
          <w:sz w:val="44"/>
          <w:szCs w:val="44"/>
        </w:rPr>
        <w:sectPr>
          <w:headerReference r:id="rId3" w:type="default"/>
          <w:footerReference r:id="rId4" w:type="default"/>
          <w:pgSz w:w="11906" w:h="16838"/>
          <w:pgMar w:top="1440" w:right="1644" w:bottom="1440" w:left="1644" w:header="851" w:footer="992" w:gutter="0"/>
          <w:pgBorders>
            <w:top w:val="none" w:sz="0" w:space="0"/>
            <w:left w:val="none" w:sz="0" w:space="0"/>
            <w:bottom w:val="none" w:sz="0" w:space="0"/>
            <w:right w:val="none" w:sz="0" w:space="0"/>
          </w:pgBorders>
          <w:pgNumType w:start="1"/>
          <w:cols w:space="720" w:num="1"/>
          <w:docGrid w:type="linesAndChars" w:linePitch="319" w:charSpace="0"/>
        </w:sectPr>
      </w:pPr>
    </w:p>
    <w:sdt>
      <w:sdtPr>
        <w:rPr>
          <w:rFonts w:hint="eastAsia" w:ascii="仿宋" w:hAnsi="仿宋" w:eastAsia="仿宋" w:cs="仿宋"/>
          <w:color w:val="auto"/>
          <w:kern w:val="2"/>
          <w:sz w:val="44"/>
          <w:szCs w:val="44"/>
          <w:lang w:val="zh-CN"/>
        </w:rPr>
        <w:id w:val="2108002753"/>
        <w:docPartObj>
          <w:docPartGallery w:val="Table of Contents"/>
          <w:docPartUnique/>
        </w:docPartObj>
      </w:sdtPr>
      <w:sdtEndPr>
        <w:rPr>
          <w:rFonts w:hint="eastAsia" w:ascii="仿宋" w:hAnsi="仿宋" w:eastAsia="仿宋" w:cs="仿宋"/>
          <w:b/>
          <w:bCs/>
          <w:color w:val="auto"/>
          <w:kern w:val="2"/>
          <w:sz w:val="21"/>
          <w:szCs w:val="24"/>
          <w:lang w:val="zh-CN"/>
        </w:rPr>
      </w:sdtEndPr>
      <w:sdtContent>
        <w:p>
          <w:pPr>
            <w:pStyle w:val="59"/>
            <w:pageBreakBefore w:val="0"/>
            <w:kinsoku/>
            <w:wordWrap/>
            <w:overflowPunct/>
            <w:topLinePunct w:val="0"/>
            <w:bidi w:val="0"/>
            <w:spacing w:line="600" w:lineRule="exact"/>
            <w:jc w:val="center"/>
            <w:textAlignment w:val="auto"/>
            <w:rPr>
              <w:rFonts w:hint="eastAsia" w:ascii="仿宋" w:hAnsi="仿宋" w:eastAsia="仿宋" w:cs="仿宋"/>
              <w:b/>
              <w:bCs/>
              <w:color w:val="auto"/>
              <w:sz w:val="44"/>
              <w:szCs w:val="44"/>
              <w:lang w:val="zh-CN"/>
            </w:rPr>
          </w:pPr>
          <w:r>
            <w:rPr>
              <w:rFonts w:hint="eastAsia" w:ascii="仿宋" w:hAnsi="仿宋" w:eastAsia="仿宋" w:cs="仿宋"/>
              <w:b/>
              <w:bCs/>
              <w:color w:val="auto"/>
              <w:sz w:val="44"/>
              <w:szCs w:val="44"/>
              <w:lang w:val="zh-CN"/>
            </w:rPr>
            <w:t>目  录</w:t>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rPr>
          </w:pP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TOC \o "1-3" \h \z \u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"_Toc175901962"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一、项目描述</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_Toc175901962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"_Toc175901963"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（一）项目基本描述</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_Toc175901963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"_Toc175901964"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（二）基本知识要求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_Toc175901964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"_Toc175901965"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（三）技术能力要求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_Toc175901965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"_Toc175901966"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（四）其他要求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_Toc175901966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3</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lang w:val="en-US" w:eastAsia="zh-CN"/>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"_Toc175901967"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二、竞赛题目与评判标准</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_Toc175901967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3</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"_Toc175901968"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（一）竞赛形式及命题标准</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_Toc175901968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3</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"_Toc175901969"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（二）比赛时间及命题内容</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_Toc175901969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4</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"_Toc175901970"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（三）分数权重</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_Toc175901970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"_Toc175901971"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（四）评判方式及方法</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_Toc175901971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7</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"_Toc175901972"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（五）成绩管理及奖项设定</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8</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"_Toc175901973"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三、竞赛细则</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9</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"_Toc175901974"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（一）竞赛日程</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_Toc175901974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9</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"_Toc175901975"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（二）裁判员及相关技术赛务支持人员工作要求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_Toc175901975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"_Toc175901976"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（三）选手条件和工作内容</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_Toc175901976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"_Toc175901977"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四、竞赛场地、设施设备安排</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_Toc175901977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7</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"_Toc175901978"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（一）赛场规格要求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_Toc175901978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7</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"_Toc175901979"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（二）基础设施</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_Toc175901979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17</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"_Toc175901980"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五、竞赛安全要求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_Toc175901980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9</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"_Toc175901981"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（一）竞赛安全要求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_Toc175901981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9</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lang w:val="en-US" w:eastAsia="zh-CN"/>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"_Toc175901982"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（二）竞赛健康要求</w:t>
          </w:r>
          <w:r>
            <w:rPr>
              <w:rFonts w:hint="eastAsia" w:ascii="仿宋" w:hAnsi="仿宋" w:eastAsia="仿宋" w:cs="仿宋"/>
              <w:color w:val="auto"/>
              <w:sz w:val="30"/>
              <w:szCs w:val="30"/>
            </w:rPr>
            <w:tab/>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lang w:val="en-US" w:eastAsia="zh-CN"/>
            </w:rPr>
            <w:t>0</w:t>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"_Toc175901983"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六、竞赛须知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"_Toc175901984"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（一）参赛队须知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_Toc175901984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"_Toc175901985"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（二）</w:t>
          </w:r>
          <w:r>
            <w:rPr>
              <w:rStyle w:val="29"/>
              <w:rFonts w:hint="eastAsia" w:ascii="仿宋" w:hAnsi="仿宋" w:eastAsia="仿宋" w:cs="仿宋"/>
              <w:color w:val="auto"/>
              <w:sz w:val="30"/>
              <w:szCs w:val="30"/>
              <w:lang w:val="en-US" w:eastAsia="zh-CN"/>
            </w:rPr>
            <w:t>领队</w:t>
          </w:r>
          <w:r>
            <w:rPr>
              <w:rStyle w:val="29"/>
              <w:rFonts w:hint="eastAsia" w:ascii="仿宋" w:hAnsi="仿宋" w:eastAsia="仿宋" w:cs="仿宋"/>
              <w:color w:val="auto"/>
              <w:sz w:val="30"/>
              <w:szCs w:val="30"/>
            </w:rPr>
            <w:t>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_Toc175901985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"_Toc175901986"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（三）参赛选手须知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_Toc175901986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"_Toc175901987"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（四）工作人员须知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_Toc175901987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"_Toc175901988"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（五）裁判员须知</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_Toc175901988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"_Toc175901989"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七、申诉与仲裁</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_Toc175901989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25</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3"/>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"_Toc175901990"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八、其他</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_Toc175901990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"_Toc175901991"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（一）环境保护</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_Toc175901991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"_Toc175901992"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（二）循环利用</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_Toc175901992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p>
        <w:p>
          <w:pPr>
            <w:pStyle w:val="14"/>
            <w:keepNext w:val="0"/>
            <w:keepLines w:val="0"/>
            <w:pageBreakBefore w:val="0"/>
            <w:widowControl w:val="0"/>
            <w:tabs>
              <w:tab w:val="right" w:leader="dot" w:pos="8608"/>
            </w:tabs>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30"/>
              <w:szCs w:val="30"/>
              <w14:ligatures w14:val="standardContextual"/>
            </w:rPr>
          </w:pP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\l "_Toc175901993" </w:instrText>
          </w:r>
          <w:r>
            <w:rPr>
              <w:rFonts w:hint="eastAsia" w:ascii="仿宋" w:hAnsi="仿宋" w:eastAsia="仿宋" w:cs="仿宋"/>
              <w:color w:val="auto"/>
              <w:sz w:val="30"/>
              <w:szCs w:val="30"/>
            </w:rPr>
            <w:fldChar w:fldCharType="separate"/>
          </w:r>
          <w:r>
            <w:rPr>
              <w:rStyle w:val="29"/>
              <w:rFonts w:hint="eastAsia" w:ascii="仿宋" w:hAnsi="仿宋" w:eastAsia="仿宋" w:cs="仿宋"/>
              <w:color w:val="auto"/>
              <w:sz w:val="30"/>
              <w:szCs w:val="30"/>
            </w:rPr>
            <w:t>（三）现场的要求</w:t>
          </w:r>
          <w:r>
            <w:rPr>
              <w:rFonts w:hint="eastAsia" w:ascii="仿宋" w:hAnsi="仿宋" w:eastAsia="仿宋" w:cs="仿宋"/>
              <w:color w:val="auto"/>
              <w:sz w:val="30"/>
              <w:szCs w:val="30"/>
            </w:rPr>
            <w:tab/>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PAGEREF _Toc175901993 \h </w:instrText>
          </w:r>
          <w:r>
            <w:rPr>
              <w:rFonts w:hint="eastAsia" w:ascii="仿宋" w:hAnsi="仿宋" w:eastAsia="仿宋" w:cs="仿宋"/>
              <w:color w:val="auto"/>
              <w:sz w:val="30"/>
              <w:szCs w:val="30"/>
            </w:rPr>
            <w:fldChar w:fldCharType="separate"/>
          </w:r>
          <w:r>
            <w:rPr>
              <w:rFonts w:hint="eastAsia" w:ascii="仿宋" w:hAnsi="仿宋" w:eastAsia="仿宋" w:cs="仿宋"/>
              <w:color w:val="auto"/>
              <w:sz w:val="30"/>
              <w:szCs w:val="30"/>
            </w:rPr>
            <w:t>2</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fldChar w:fldCharType="end"/>
          </w:r>
          <w:r>
            <w:rPr>
              <w:rFonts w:hint="eastAsia" w:ascii="仿宋" w:hAnsi="仿宋" w:eastAsia="仿宋" w:cs="仿宋"/>
              <w:color w:val="auto"/>
              <w:sz w:val="30"/>
              <w:szCs w:val="30"/>
            </w:rPr>
            <w:fldChar w:fldCharType="end"/>
          </w:r>
          <w:bookmarkStart w:id="70" w:name="_GoBack"/>
          <w:bookmarkEnd w:id="70"/>
        </w:p>
        <w:p>
          <w:pPr>
            <w:pageBreakBefore w:val="0"/>
            <w:kinsoku/>
            <w:wordWrap/>
            <w:overflowPunct/>
            <w:topLinePunct w:val="0"/>
            <w:bidi w:val="0"/>
            <w:spacing w:line="600" w:lineRule="exact"/>
            <w:jc w:val="left"/>
            <w:textAlignment w:val="auto"/>
            <w:rPr>
              <w:rFonts w:hint="eastAsia" w:ascii="仿宋" w:hAnsi="仿宋" w:eastAsia="仿宋" w:cs="仿宋"/>
              <w:color w:val="auto"/>
            </w:rPr>
          </w:pPr>
          <w:r>
            <w:rPr>
              <w:rFonts w:hint="eastAsia" w:ascii="仿宋" w:hAnsi="仿宋" w:eastAsia="仿宋" w:cs="仿宋"/>
              <w:b/>
              <w:bCs/>
              <w:color w:val="auto"/>
              <w:sz w:val="30"/>
              <w:szCs w:val="30"/>
              <w:lang w:val="zh-CN"/>
            </w:rPr>
            <w:fldChar w:fldCharType="end"/>
          </w:r>
        </w:p>
      </w:sdtContent>
    </w:sdt>
    <w:p>
      <w:pPr>
        <w:pageBreakBefore w:val="0"/>
        <w:kinsoku/>
        <w:wordWrap/>
        <w:overflowPunct/>
        <w:topLinePunct w:val="0"/>
        <w:bidi w:val="0"/>
        <w:spacing w:line="600" w:lineRule="exact"/>
        <w:jc w:val="left"/>
        <w:textAlignment w:val="auto"/>
        <w:rPr>
          <w:rFonts w:hint="eastAsia" w:ascii="仿宋" w:hAnsi="仿宋" w:eastAsia="仿宋" w:cs="仿宋"/>
          <w:b/>
          <w:color w:val="auto"/>
          <w:sz w:val="44"/>
          <w:szCs w:val="44"/>
          <w:lang w:val="en-AU"/>
        </w:rPr>
        <w:sectPr>
          <w:footerReference r:id="rId5" w:type="default"/>
          <w:pgSz w:w="11906" w:h="16838"/>
          <w:pgMar w:top="1440" w:right="1644" w:bottom="1440" w:left="1644" w:header="851" w:footer="992" w:gutter="0"/>
          <w:pgBorders>
            <w:top w:val="none" w:sz="0" w:space="0"/>
            <w:left w:val="none" w:sz="0" w:space="0"/>
            <w:bottom w:val="none" w:sz="0" w:space="0"/>
            <w:right w:val="none" w:sz="0" w:space="0"/>
          </w:pgBorders>
          <w:pgNumType w:start="1"/>
          <w:cols w:space="720" w:num="1"/>
          <w:docGrid w:type="linesAndChars" w:linePitch="319" w:charSpace="0"/>
        </w:sectPr>
      </w:pP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sz w:val="32"/>
          <w:lang w:eastAsia="zh-CN"/>
        </w:rPr>
      </w:pPr>
      <w:bookmarkStart w:id="0" w:name="_Toc175901962"/>
      <w:r>
        <w:rPr>
          <w:rFonts w:hint="eastAsia" w:ascii="仿宋" w:hAnsi="仿宋" w:eastAsia="仿宋" w:cs="仿宋"/>
          <w:b/>
          <w:bCs w:val="0"/>
          <w:color w:val="auto"/>
          <w:sz w:val="32"/>
          <w:lang w:eastAsia="zh-CN"/>
        </w:rPr>
        <w:t>一、项目描述</w:t>
      </w:r>
      <w:bookmarkEnd w:id="0"/>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1" w:name="_Toc175901963"/>
      <w:r>
        <w:rPr>
          <w:rFonts w:hint="eastAsia" w:ascii="仿宋" w:hAnsi="仿宋" w:eastAsia="仿宋" w:cs="仿宋"/>
          <w:b/>
          <w:bCs w:val="0"/>
          <w:color w:val="auto"/>
        </w:rPr>
        <w:t>（一）项目基本描述</w:t>
      </w:r>
      <w:bookmarkEnd w:id="1"/>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灯具设计师（工业设计）赛项综合运用灯具设计知识和技能，以灯具设计与制作为基本工作内容，综合运用工业设计协同创新平台、三维设计软件和产品设计与制造领域专业知识，根据任务要求和灯具行业的最新发展动态，应用手绘知识完成灯具概念设计，结合工业设计协同创新平台提供的工业设计资源数据库、逆向设计和快速成型设备完成灯具创新设计与快速成型，最后进行装配装饰，形成观赏性强的灯具产品，并使该产品具有较好的新颖性、美观性、趣味性和智慧性。</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竞赛包括产品设计与数据管理、产品快速成型、产品可视化与展示、产品装配装饰等工作模块。</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2" w:name="_Toc175901964"/>
      <w:r>
        <w:rPr>
          <w:rFonts w:hint="eastAsia" w:ascii="仿宋" w:hAnsi="仿宋" w:eastAsia="仿宋" w:cs="仿宋"/>
          <w:b/>
          <w:bCs w:val="0"/>
          <w:color w:val="auto"/>
        </w:rPr>
        <w:t>（二）基本知识要求</w:t>
      </w:r>
      <w:bookmarkEnd w:id="2"/>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参赛选手应掌握的理论知识：灯具设计知识、工业设计知识、机械设计（含产品装配）与制图知识、3D打印与逆向设计知识、产品数据管理（PDM）知识等五大模块。各模块的权重比例如表1所示。理论知识考试题型分为单项选择题、多项选择题和判断题，其所占比例如表2所示。</w:t>
      </w:r>
    </w:p>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表1  灯具设计师理论考核知识模块与权重</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after="0"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b/>
                <w:caps/>
                <w:color w:val="auto"/>
                <w:sz w:val="30"/>
                <w:szCs w:val="30"/>
              </w:rPr>
              <w:t>序号</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b/>
                <w:caps/>
                <w:color w:val="auto"/>
                <w:sz w:val="30"/>
                <w:szCs w:val="30"/>
              </w:rPr>
              <w:t>模块名称</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after="0"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b/>
                <w:caps/>
                <w:color w:val="auto"/>
                <w:sz w:val="30"/>
                <w:szCs w:val="30"/>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1</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灯具设计</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工业设计</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3</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机械设计与制图</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4</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3D打印与逆向设计</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5</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产品数据管理（PDM）</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10</w:t>
            </w:r>
          </w:p>
        </w:tc>
      </w:tr>
    </w:tbl>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表2  灯具设计师理论考核题型与权重</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after="0"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b/>
                <w:caps/>
                <w:color w:val="auto"/>
                <w:sz w:val="30"/>
                <w:szCs w:val="30"/>
              </w:rPr>
              <w:t>序号</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after="0"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b/>
                <w:caps/>
                <w:color w:val="auto"/>
                <w:sz w:val="30"/>
                <w:szCs w:val="30"/>
              </w:rPr>
              <w:t>模块名称</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after="0"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b/>
                <w:caps/>
                <w:color w:val="auto"/>
                <w:sz w:val="30"/>
                <w:szCs w:val="30"/>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1</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单项选择题</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多项选择题</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3</w:t>
            </w:r>
          </w:p>
        </w:tc>
        <w:tc>
          <w:tcPr>
            <w:tcW w:w="3402"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判断题</w:t>
            </w:r>
          </w:p>
        </w:tc>
        <w:tc>
          <w:tcPr>
            <w:tcW w:w="1843" w:type="dxa"/>
            <w:vAlign w:val="center"/>
          </w:tcPr>
          <w:p>
            <w:pPr>
              <w:pStyle w:val="9"/>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20</w:t>
            </w:r>
          </w:p>
        </w:tc>
      </w:tr>
    </w:tbl>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right="0" w:firstLine="640" w:firstLineChars="200"/>
        <w:jc w:val="both"/>
        <w:textAlignment w:val="auto"/>
        <w:rPr>
          <w:rFonts w:hint="eastAsia" w:ascii="仿宋" w:hAnsi="仿宋" w:eastAsia="仿宋" w:cs="仿宋"/>
          <w:b w:val="0"/>
          <w:bCs/>
          <w:color w:val="auto"/>
        </w:rPr>
      </w:pPr>
      <w:bookmarkStart w:id="3" w:name="_Toc175901965"/>
      <w:r>
        <w:rPr>
          <w:rFonts w:hint="eastAsia" w:ascii="仿宋" w:hAnsi="仿宋" w:eastAsia="仿宋" w:cs="仿宋"/>
          <w:b/>
          <w:bCs w:val="0"/>
          <w:color w:val="auto"/>
        </w:rPr>
        <w:t>（三）技术能力要求</w:t>
      </w:r>
      <w:bookmarkEnd w:id="3"/>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参赛选手应具备以下技术能力：</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1.协同创新管理能力：能使用工业设计协同创新知识库（web版），结合设计资源数据库进行零件选型、借用、BOM设计，完成灯具设计与数据管理。</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2.灯具创新设计能力：能使用三维CAD设计软件进行灯具创新设计，有一定的审美观，理解灯具结构，具备灯具相关知识。</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3.数据采集处理能力：能应用数据采集检测设备完成产品数据的采集与处理。</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4.三维逆向设计能力：能使用三维CAD软件完成产品逆向设计。</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5.工程出图能力：能使用三维CAD软件输出零件图、装配图、爆炸图、渲染图、动画等。输出的工程图样要符合最新的GB 或 ISO 标准。</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6.快速成型能力：能正确操作快速成型设备；能根据产品使用性能和功能要求，确定三维打印件层厚、支撑方式、放置角度、后处理工艺等工艺参数。</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7.产品可视化制作能力：能使用图像和视频制作软件等进行产品设计展版制作与展示动画制作。</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8.装配装饰与验证能力：能够使用工具完成灯具的装配调试、相关功能验证等操作。</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9.安全文明要求：遵守相关安全防护和环境保护要求。</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right="0" w:firstLine="640" w:firstLineChars="200"/>
        <w:jc w:val="both"/>
        <w:textAlignment w:val="auto"/>
        <w:rPr>
          <w:rFonts w:hint="eastAsia" w:ascii="仿宋" w:hAnsi="仿宋" w:eastAsia="仿宋" w:cs="仿宋"/>
          <w:b w:val="0"/>
          <w:bCs/>
          <w:color w:val="auto"/>
        </w:rPr>
      </w:pPr>
      <w:bookmarkStart w:id="4" w:name="_Toc175901966"/>
      <w:r>
        <w:rPr>
          <w:rFonts w:hint="eastAsia" w:ascii="仿宋" w:hAnsi="仿宋" w:eastAsia="仿宋" w:cs="仿宋"/>
          <w:b/>
          <w:bCs w:val="0"/>
          <w:color w:val="auto"/>
          <w:lang w:val="en-US"/>
        </w:rPr>
        <w:t>（四）</w:t>
      </w:r>
      <w:r>
        <w:rPr>
          <w:rFonts w:hint="eastAsia" w:ascii="仿宋" w:hAnsi="仿宋" w:eastAsia="仿宋" w:cs="仿宋"/>
          <w:b/>
          <w:bCs w:val="0"/>
          <w:color w:val="auto"/>
        </w:rPr>
        <w:t>其他要求</w:t>
      </w:r>
      <w:bookmarkEnd w:id="4"/>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1.作品必须为原创作品，不得侵犯他人的知识产权或其它任何权利。</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2.作品应充分考虑市场价值和可实现性。</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3.作品应具备前瞻概念性，在一定程度上把握灯具未来的趋势。</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4.设计说明：需包含作品名称、作品的创新性、用途或功能、使用达到的效果等。</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right="0" w:firstLine="640" w:firstLineChars="200"/>
        <w:jc w:val="both"/>
        <w:textAlignment w:val="auto"/>
        <w:rPr>
          <w:rFonts w:hint="eastAsia" w:ascii="仿宋" w:hAnsi="仿宋" w:eastAsia="仿宋" w:cs="仿宋"/>
          <w:b/>
          <w:bCs w:val="0"/>
          <w:color w:val="auto"/>
          <w:sz w:val="32"/>
          <w:lang w:eastAsia="zh-CN"/>
        </w:rPr>
      </w:pPr>
      <w:bookmarkStart w:id="5" w:name="_Toc175901967"/>
      <w:r>
        <w:rPr>
          <w:rFonts w:hint="eastAsia" w:ascii="仿宋" w:hAnsi="仿宋" w:eastAsia="仿宋" w:cs="仿宋"/>
          <w:b/>
          <w:bCs w:val="0"/>
          <w:color w:val="auto"/>
          <w:sz w:val="32"/>
          <w:lang w:eastAsia="zh-CN"/>
        </w:rPr>
        <w:t>二、竞赛题目与评判标准</w:t>
      </w:r>
      <w:bookmarkEnd w:id="5"/>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right="0" w:firstLine="640" w:firstLineChars="200"/>
        <w:jc w:val="both"/>
        <w:textAlignment w:val="auto"/>
        <w:rPr>
          <w:rFonts w:hint="eastAsia" w:ascii="仿宋" w:hAnsi="仿宋" w:eastAsia="仿宋" w:cs="仿宋"/>
          <w:b w:val="0"/>
          <w:bCs/>
          <w:color w:val="auto"/>
        </w:rPr>
      </w:pPr>
      <w:bookmarkStart w:id="6" w:name="_Toc175901968"/>
      <w:r>
        <w:rPr>
          <w:rFonts w:hint="eastAsia" w:ascii="仿宋" w:hAnsi="仿宋" w:eastAsia="仿宋" w:cs="仿宋"/>
          <w:b/>
          <w:bCs w:val="0"/>
          <w:color w:val="auto"/>
        </w:rPr>
        <w:t>（一）竞赛形式及命题标准</w:t>
      </w:r>
      <w:bookmarkEnd w:id="6"/>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赛项分职工组和学生组，均为单人参赛。两个组别在竞赛内容上略有区别，在竞赛难度和广度上各有侧重。同一单位各组别限报1支参赛队。</w:t>
      </w:r>
    </w:p>
    <w:p>
      <w:pPr>
        <w:pStyle w:val="7"/>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Cs w:val="32"/>
        </w:rPr>
      </w:pPr>
      <w:r>
        <w:rPr>
          <w:rFonts w:hint="eastAsia" w:ascii="仿宋" w:hAnsi="仿宋" w:eastAsia="仿宋" w:cs="仿宋"/>
          <w:color w:val="auto"/>
          <w:szCs w:val="32"/>
        </w:rPr>
        <w:t>竞赛设理论竞赛和实操竞赛两个环节，各组别总成绩中理论考试成绩占 20%，实际操作成绩占 80%，其中理论考题从不少于700道考题库中抽取。</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命题依据“灯具设计师国家职业技能标准”，借鉴世界技能大赛《CAD机械设计》《原型制作》和《工业设计技术》项目的命题模式和模块化考核评价方法来开展灯具设计师赛项的命题和考核。</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right="0" w:firstLine="640" w:firstLineChars="200"/>
        <w:jc w:val="both"/>
        <w:textAlignment w:val="auto"/>
        <w:rPr>
          <w:rFonts w:hint="eastAsia" w:ascii="仿宋" w:hAnsi="仿宋" w:eastAsia="仿宋" w:cs="仿宋"/>
          <w:b w:val="0"/>
          <w:bCs/>
          <w:color w:val="auto"/>
        </w:rPr>
      </w:pPr>
      <w:bookmarkStart w:id="7" w:name="_Toc175901969"/>
      <w:r>
        <w:rPr>
          <w:rFonts w:hint="eastAsia" w:ascii="仿宋" w:hAnsi="仿宋" w:eastAsia="仿宋" w:cs="仿宋"/>
          <w:b/>
          <w:bCs w:val="0"/>
          <w:color w:val="auto"/>
        </w:rPr>
        <w:t>（二）比赛时间及命题内容</w:t>
      </w:r>
      <w:bookmarkEnd w:id="7"/>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各组别理论竞赛时间1小时，实操竞赛时间9.5小时。</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赛项试题由专家组长根据本竞赛规程要求组织命题</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竞赛采用建立赛题库并公开竞赛样题的方式进行。职工组与学生组赛题在考核内容和质量要求上有所不同。</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最终赛题产生的方式：</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实际操作赛题在公开样题的基础上变化而成，内容变化限定在40％以内。</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竞赛时，同一场比赛的相同组别选手采用相同试题。</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每场比赛赛前随机抽取当场赛题，技术工作委员会指定专人负责赛题抽取、印刷、加密保管、领取和回收工作。</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命题内容与权重：</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灯具设计师（工业设计）赛项实操竞赛模块如下：</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模块一：产品设计与数据管理（占分比例 40%）</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任务 1 产品数据管理</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bookmarkStart w:id="8" w:name="_Hlk105004086"/>
      <w:r>
        <w:rPr>
          <w:rFonts w:hint="eastAsia" w:ascii="仿宋" w:hAnsi="仿宋" w:eastAsia="仿宋" w:cs="仿宋"/>
          <w:color w:val="auto"/>
          <w:sz w:val="32"/>
          <w:szCs w:val="32"/>
        </w:rPr>
        <w:t>根据任务书要求在工业设计协同创新知识库中进行项目立项、工作流程定义、制订零件编码规则、创建零部件库，完成指定的工作任务。</w:t>
      </w:r>
    </w:p>
    <w:bookmarkEnd w:id="8"/>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任务 2 </w:t>
      </w:r>
      <w:bookmarkStart w:id="9" w:name="_Hlk105004108"/>
      <w:r>
        <w:rPr>
          <w:rFonts w:hint="eastAsia" w:ascii="仿宋" w:hAnsi="仿宋" w:eastAsia="仿宋" w:cs="仿宋"/>
          <w:color w:val="auto"/>
          <w:sz w:val="32"/>
          <w:szCs w:val="32"/>
        </w:rPr>
        <w:t>产品正向设计建模</w:t>
      </w:r>
      <w:bookmarkEnd w:id="9"/>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bookmarkStart w:id="10" w:name="_Hlk105004144"/>
      <w:r>
        <w:rPr>
          <w:rFonts w:hint="eastAsia" w:ascii="仿宋" w:hAnsi="仿宋" w:eastAsia="仿宋" w:cs="仿宋"/>
          <w:color w:val="auto"/>
          <w:sz w:val="32"/>
          <w:szCs w:val="32"/>
        </w:rPr>
        <w:t>根据任务书要求和手绘完成的创意草图，结合工业设计协同创新知识库提供的工业设计资源数据库，进行零部件选型，产品 BOM 设计与明细表输出，运用三维 CAD 软件进行产品创新设计建模，并对三维模型进行着色。</w:t>
      </w:r>
      <w:bookmarkEnd w:id="10"/>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任务 3 </w:t>
      </w:r>
      <w:bookmarkStart w:id="11" w:name="_Hlk105004182"/>
      <w:r>
        <w:rPr>
          <w:rFonts w:hint="eastAsia" w:ascii="仿宋" w:hAnsi="仿宋" w:eastAsia="仿宋" w:cs="仿宋"/>
          <w:color w:val="auto"/>
          <w:sz w:val="32"/>
          <w:szCs w:val="32"/>
        </w:rPr>
        <w:t>产品逆向设计建模</w:t>
      </w:r>
      <w:bookmarkEnd w:id="11"/>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bookmarkStart w:id="12" w:name="_Hlk105004318"/>
      <w:r>
        <w:rPr>
          <w:rFonts w:hint="eastAsia" w:ascii="仿宋" w:hAnsi="仿宋" w:eastAsia="仿宋" w:cs="仿宋"/>
          <w:color w:val="auto"/>
          <w:sz w:val="32"/>
          <w:szCs w:val="32"/>
        </w:rPr>
        <w:t>应用数据采集检测设备扫描指定零件得到三维数据并进行适当处理，根据三维数据进行逆向设计，建立三维数字模型，并根据任务书要求和产品概念设计图进行修改匹配，生成新的三维数字模型，把成果上传到工业设计协同创新知识库中。</w:t>
      </w:r>
    </w:p>
    <w:bookmarkEnd w:id="12"/>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bookmarkStart w:id="13" w:name="_Hlk105004344"/>
      <w:r>
        <w:rPr>
          <w:rFonts w:hint="eastAsia" w:ascii="仿宋" w:hAnsi="仿宋" w:eastAsia="仿宋" w:cs="仿宋"/>
          <w:color w:val="auto"/>
          <w:sz w:val="32"/>
          <w:szCs w:val="32"/>
        </w:rPr>
        <w:t>任务 4 产品装配与输出</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结合工业设计协同创新平台提供的工业设计资源数据库，完成产品三维装配并提交符合 GB/ISO 标准的三维装配模型、零件工程图、产品装配图、产品渲染图、爆炸图、动画、作品名称和设计说明书等，把三维模型、工程图等成果上传到工业设计协同创新知识库中。</w:t>
      </w:r>
    </w:p>
    <w:bookmarkEnd w:id="13"/>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模块</w:t>
      </w: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rPr>
        <w:t>：</w:t>
      </w:r>
      <w:bookmarkStart w:id="14" w:name="_Hlk105004773"/>
      <w:r>
        <w:rPr>
          <w:rFonts w:hint="eastAsia" w:ascii="仿宋" w:hAnsi="仿宋" w:eastAsia="仿宋" w:cs="仿宋"/>
          <w:b/>
          <w:bCs/>
          <w:color w:val="auto"/>
          <w:sz w:val="32"/>
          <w:szCs w:val="32"/>
        </w:rPr>
        <w:t>产品快速成型（占分比例 20%）</w:t>
      </w:r>
      <w:bookmarkEnd w:id="14"/>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bookmarkStart w:id="15" w:name="_Hlk105004819"/>
      <w:r>
        <w:rPr>
          <w:rFonts w:hint="eastAsia" w:ascii="仿宋" w:hAnsi="仿宋" w:eastAsia="仿宋" w:cs="仿宋"/>
          <w:color w:val="auto"/>
          <w:sz w:val="32"/>
          <w:szCs w:val="32"/>
        </w:rPr>
        <w:t>利用大赛提供的快速成型设备，根据产品使用性能和功能要求，在指定时间内完成灯具相关零件的快速成型和后处理。</w:t>
      </w:r>
    </w:p>
    <w:bookmarkEnd w:id="15"/>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b/>
          <w:bCs/>
          <w:color w:val="auto"/>
          <w:sz w:val="32"/>
          <w:szCs w:val="32"/>
        </w:rPr>
      </w:pPr>
      <w:bookmarkStart w:id="16" w:name="_Hlk105004849"/>
      <w:r>
        <w:rPr>
          <w:rFonts w:hint="eastAsia" w:ascii="仿宋" w:hAnsi="仿宋" w:eastAsia="仿宋" w:cs="仿宋"/>
          <w:b/>
          <w:bCs/>
          <w:color w:val="auto"/>
          <w:sz w:val="32"/>
          <w:szCs w:val="32"/>
        </w:rPr>
        <w:t>模块</w:t>
      </w:r>
      <w:r>
        <w:rPr>
          <w:rFonts w:hint="eastAsia" w:ascii="仿宋" w:hAnsi="仿宋" w:eastAsia="仿宋" w:cs="仿宋"/>
          <w:b/>
          <w:bCs/>
          <w:color w:val="auto"/>
          <w:sz w:val="32"/>
          <w:szCs w:val="32"/>
          <w:lang w:val="en-US" w:eastAsia="zh-CN"/>
        </w:rPr>
        <w:t>三</w:t>
      </w:r>
      <w:r>
        <w:rPr>
          <w:rFonts w:hint="eastAsia" w:ascii="仿宋" w:hAnsi="仿宋" w:eastAsia="仿宋" w:cs="仿宋"/>
          <w:b/>
          <w:bCs/>
          <w:color w:val="auto"/>
          <w:sz w:val="32"/>
          <w:szCs w:val="32"/>
        </w:rPr>
        <w:t>：产品可视化与展示（占分比例 15%）</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编制产品设计说明 PPT，制作产品设计展版与展示动画， 把成果上传到工业设计协同创新知识库中。</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模块</w:t>
      </w:r>
      <w:r>
        <w:rPr>
          <w:rFonts w:hint="eastAsia" w:ascii="仿宋" w:hAnsi="仿宋" w:eastAsia="仿宋" w:cs="仿宋"/>
          <w:b/>
          <w:bCs/>
          <w:color w:val="auto"/>
          <w:sz w:val="32"/>
          <w:szCs w:val="32"/>
          <w:lang w:val="en-US" w:eastAsia="zh-CN"/>
        </w:rPr>
        <w:t>四</w:t>
      </w:r>
      <w:r>
        <w:rPr>
          <w:rFonts w:hint="eastAsia" w:ascii="仿宋" w:hAnsi="仿宋" w:eastAsia="仿宋" w:cs="仿宋"/>
          <w:b/>
          <w:bCs/>
          <w:color w:val="auto"/>
          <w:sz w:val="32"/>
          <w:szCs w:val="32"/>
        </w:rPr>
        <w:t>：产品装配装饰（占分比例 20%）</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先完善产品模型的表面，对模型表面进行修补、打磨等后处理，选用合适的装饰材料来装饰产品模型，并结合赛场提供的其他机械、电子零配件，完成产品的装配装饰，同时验证所完成灯具的防触电保护、散热设计、装配与使用的便捷性、控制技术的智能性、成本控制、灯具光效果的评价等要素。</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rPr>
        <w:t>模块</w:t>
      </w:r>
      <w:r>
        <w:rPr>
          <w:rFonts w:hint="eastAsia" w:ascii="仿宋" w:hAnsi="仿宋" w:eastAsia="仿宋" w:cs="仿宋"/>
          <w:b/>
          <w:bCs/>
          <w:color w:val="auto"/>
          <w:sz w:val="32"/>
          <w:szCs w:val="32"/>
          <w:lang w:val="en-US" w:eastAsia="zh-CN"/>
        </w:rPr>
        <w:t>五</w:t>
      </w:r>
      <w:r>
        <w:rPr>
          <w:rFonts w:hint="eastAsia" w:ascii="仿宋" w:hAnsi="仿宋" w:eastAsia="仿宋" w:cs="仿宋"/>
          <w:b/>
          <w:bCs/>
          <w:color w:val="auto"/>
          <w:sz w:val="32"/>
          <w:szCs w:val="32"/>
        </w:rPr>
        <w:t>：职业素养与安全意识（占分比例 5%）</w:t>
      </w:r>
      <w:bookmarkEnd w:id="16"/>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right="0" w:firstLine="640" w:firstLineChars="200"/>
        <w:jc w:val="both"/>
        <w:textAlignment w:val="auto"/>
        <w:rPr>
          <w:rFonts w:hint="eastAsia" w:ascii="仿宋" w:hAnsi="仿宋" w:eastAsia="仿宋" w:cs="仿宋"/>
          <w:b/>
          <w:bCs w:val="0"/>
          <w:color w:val="auto"/>
        </w:rPr>
      </w:pPr>
      <w:bookmarkStart w:id="17" w:name="_Toc175901970"/>
      <w:r>
        <w:rPr>
          <w:rFonts w:hint="eastAsia" w:ascii="仿宋" w:hAnsi="仿宋" w:eastAsia="仿宋" w:cs="仿宋"/>
          <w:b/>
          <w:bCs w:val="0"/>
          <w:color w:val="auto"/>
        </w:rPr>
        <w:t>（三）分数权重</w:t>
      </w:r>
      <w:bookmarkEnd w:id="17"/>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竞赛实操流程</w:t>
      </w:r>
    </w:p>
    <w:p>
      <w:pPr>
        <w:pageBreakBefore w:val="0"/>
        <w:kinsoku/>
        <w:wordWrap/>
        <w:overflowPunct/>
        <w:topLinePunct w:val="0"/>
        <w:autoSpaceDE/>
        <w:autoSpaceDN/>
        <w:bidi w:val="0"/>
        <w:adjustRightInd/>
        <w:snapToGrid/>
        <w:spacing w:line="600" w:lineRule="exact"/>
        <w:ind w:left="0" w:leftChars="0" w:righ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各参赛队集中比赛，使用赛场提供的相关设备平台，完成比赛任务。竞赛内容、时长、分值和评价方法如表3所示。</w:t>
      </w:r>
    </w:p>
    <w:p>
      <w:pPr>
        <w:pStyle w:val="9"/>
        <w:pageBreakBefore w:val="0"/>
        <w:kinsoku/>
        <w:wordWrap/>
        <w:overflowPunct/>
        <w:topLinePunct w:val="0"/>
        <w:autoSpaceDE/>
        <w:autoSpaceDN/>
        <w:bidi w:val="0"/>
        <w:adjustRightInd/>
        <w:snapToGrid/>
        <w:spacing w:after="0" w:line="600" w:lineRule="exact"/>
        <w:ind w:left="0" w:leftChars="0" w:right="0" w:firstLine="0" w:firstLineChars="0"/>
        <w:jc w:val="center"/>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表 3 灯具设计师实操竞赛内容等</w:t>
      </w:r>
    </w:p>
    <w:tbl>
      <w:tblPr>
        <w:tblStyle w:val="57"/>
        <w:tblW w:w="925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3924"/>
        <w:gridCol w:w="1331"/>
        <w:gridCol w:w="992"/>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atLeast"/>
        </w:trPr>
        <w:tc>
          <w:tcPr>
            <w:tcW w:w="735"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b/>
                <w:bCs/>
                <w:color w:val="auto"/>
                <w:sz w:val="30"/>
                <w:szCs w:val="30"/>
                <w:lang w:eastAsia="en-US"/>
              </w:rPr>
            </w:pPr>
            <w:r>
              <w:rPr>
                <w:rFonts w:hint="eastAsia" w:ascii="仿宋" w:hAnsi="仿宋" w:eastAsia="仿宋" w:cs="仿宋"/>
                <w:b/>
                <w:bCs/>
                <w:color w:val="auto"/>
                <w:sz w:val="30"/>
                <w:szCs w:val="30"/>
                <w:lang w:eastAsia="en-US"/>
              </w:rPr>
              <w:t>序号</w:t>
            </w:r>
          </w:p>
        </w:tc>
        <w:tc>
          <w:tcPr>
            <w:tcW w:w="3924"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b/>
                <w:bCs/>
                <w:color w:val="auto"/>
                <w:sz w:val="30"/>
                <w:szCs w:val="30"/>
                <w:lang w:eastAsia="en-US"/>
              </w:rPr>
            </w:pPr>
            <w:r>
              <w:rPr>
                <w:rFonts w:hint="eastAsia" w:ascii="仿宋" w:hAnsi="仿宋" w:eastAsia="仿宋" w:cs="仿宋"/>
                <w:b/>
                <w:bCs/>
                <w:color w:val="auto"/>
                <w:sz w:val="30"/>
                <w:szCs w:val="30"/>
                <w:lang w:eastAsia="en-US"/>
              </w:rPr>
              <w:t>竞赛内容</w:t>
            </w:r>
          </w:p>
        </w:tc>
        <w:tc>
          <w:tcPr>
            <w:tcW w:w="1331"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b/>
                <w:bCs/>
                <w:color w:val="auto"/>
                <w:sz w:val="30"/>
                <w:szCs w:val="30"/>
                <w:lang w:eastAsia="en-US"/>
              </w:rPr>
            </w:pPr>
            <w:r>
              <w:rPr>
                <w:rFonts w:hint="eastAsia" w:ascii="仿宋" w:hAnsi="仿宋" w:eastAsia="仿宋" w:cs="仿宋"/>
                <w:b/>
                <w:bCs/>
                <w:color w:val="auto"/>
                <w:sz w:val="30"/>
                <w:szCs w:val="30"/>
                <w:lang w:eastAsia="en-US"/>
              </w:rPr>
              <w:t>时长</w:t>
            </w:r>
          </w:p>
        </w:tc>
        <w:tc>
          <w:tcPr>
            <w:tcW w:w="992"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b/>
                <w:bCs/>
                <w:color w:val="auto"/>
                <w:sz w:val="30"/>
                <w:szCs w:val="30"/>
                <w:lang w:eastAsia="en-US"/>
              </w:rPr>
            </w:pPr>
            <w:r>
              <w:rPr>
                <w:rFonts w:hint="eastAsia" w:ascii="仿宋" w:hAnsi="仿宋" w:eastAsia="仿宋" w:cs="仿宋"/>
                <w:b/>
                <w:bCs/>
                <w:color w:val="auto"/>
                <w:sz w:val="30"/>
                <w:szCs w:val="30"/>
                <w:lang w:eastAsia="en-US"/>
              </w:rPr>
              <w:t>分值</w:t>
            </w:r>
          </w:p>
        </w:tc>
        <w:tc>
          <w:tcPr>
            <w:tcW w:w="226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b/>
                <w:bCs/>
                <w:color w:val="auto"/>
                <w:sz w:val="30"/>
                <w:szCs w:val="30"/>
                <w:lang w:eastAsia="en-US"/>
              </w:rPr>
            </w:pPr>
            <w:r>
              <w:rPr>
                <w:rFonts w:hint="eastAsia" w:ascii="仿宋" w:hAnsi="仿宋" w:eastAsia="仿宋" w:cs="仿宋"/>
                <w:b/>
                <w:bCs/>
                <w:color w:val="auto"/>
                <w:sz w:val="30"/>
                <w:szCs w:val="30"/>
                <w:lang w:eastAsia="en-US"/>
              </w:rPr>
              <w:t>评分方法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735"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1</w:t>
            </w:r>
          </w:p>
        </w:tc>
        <w:tc>
          <w:tcPr>
            <w:tcW w:w="3924" w:type="dxa"/>
            <w:tcBorders>
              <w:bottom w:val="single" w:color="auto" w:sz="4" w:space="0"/>
            </w:tcBorders>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模块一：产品设计与数据管理</w:t>
            </w:r>
          </w:p>
        </w:tc>
        <w:tc>
          <w:tcPr>
            <w:tcW w:w="1331" w:type="dxa"/>
            <w:tcBorders>
              <w:bottom w:val="single" w:color="auto" w:sz="4" w:space="0"/>
            </w:tcBorders>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4小时</w:t>
            </w:r>
          </w:p>
        </w:tc>
        <w:tc>
          <w:tcPr>
            <w:tcW w:w="992"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40分</w:t>
            </w:r>
          </w:p>
        </w:tc>
        <w:tc>
          <w:tcPr>
            <w:tcW w:w="226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过程、结果评分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trPr>
        <w:tc>
          <w:tcPr>
            <w:tcW w:w="735"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2</w:t>
            </w:r>
          </w:p>
        </w:tc>
        <w:tc>
          <w:tcPr>
            <w:tcW w:w="3924" w:type="dxa"/>
            <w:tcBorders>
              <w:top w:val="single" w:color="auto" w:sz="4" w:space="0"/>
            </w:tcBorders>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模块二：产品快速成型</w:t>
            </w:r>
          </w:p>
        </w:tc>
        <w:tc>
          <w:tcPr>
            <w:tcW w:w="1331" w:type="dxa"/>
            <w:tcBorders>
              <w:top w:val="single" w:color="auto" w:sz="4" w:space="0"/>
            </w:tcBorders>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2.5小时</w:t>
            </w:r>
          </w:p>
        </w:tc>
        <w:tc>
          <w:tcPr>
            <w:tcW w:w="992"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20分</w:t>
            </w:r>
          </w:p>
        </w:tc>
        <w:tc>
          <w:tcPr>
            <w:tcW w:w="226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过程、结果评分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735"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3</w:t>
            </w:r>
          </w:p>
        </w:tc>
        <w:tc>
          <w:tcPr>
            <w:tcW w:w="3924"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模块三：产品可视化与展示</w:t>
            </w:r>
          </w:p>
        </w:tc>
        <w:tc>
          <w:tcPr>
            <w:tcW w:w="1331"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2.5小时</w:t>
            </w:r>
          </w:p>
        </w:tc>
        <w:tc>
          <w:tcPr>
            <w:tcW w:w="992"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15分</w:t>
            </w:r>
          </w:p>
        </w:tc>
        <w:tc>
          <w:tcPr>
            <w:tcW w:w="226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过程、结果评分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735"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4</w:t>
            </w:r>
          </w:p>
        </w:tc>
        <w:tc>
          <w:tcPr>
            <w:tcW w:w="3924"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模块四：产品装配装饰</w:t>
            </w:r>
          </w:p>
        </w:tc>
        <w:tc>
          <w:tcPr>
            <w:tcW w:w="1331"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0.5小时</w:t>
            </w:r>
          </w:p>
        </w:tc>
        <w:tc>
          <w:tcPr>
            <w:tcW w:w="992"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20分</w:t>
            </w:r>
          </w:p>
        </w:tc>
        <w:tc>
          <w:tcPr>
            <w:tcW w:w="226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过程、结果评分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735"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5</w:t>
            </w:r>
          </w:p>
        </w:tc>
        <w:tc>
          <w:tcPr>
            <w:tcW w:w="3924"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职业素养与安全意识</w:t>
            </w:r>
          </w:p>
        </w:tc>
        <w:tc>
          <w:tcPr>
            <w:tcW w:w="1331"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全程</w:t>
            </w:r>
          </w:p>
        </w:tc>
        <w:tc>
          <w:tcPr>
            <w:tcW w:w="992"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5分</w:t>
            </w:r>
          </w:p>
        </w:tc>
        <w:tc>
          <w:tcPr>
            <w:tcW w:w="226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过程评分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2" w:hRule="atLeast"/>
        </w:trPr>
        <w:tc>
          <w:tcPr>
            <w:tcW w:w="4659" w:type="dxa"/>
            <w:gridSpan w:val="2"/>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en-US"/>
              </w:rPr>
            </w:pPr>
            <w:r>
              <w:rPr>
                <w:rFonts w:hint="eastAsia" w:ascii="仿宋" w:hAnsi="仿宋" w:eastAsia="仿宋" w:cs="仿宋"/>
                <w:color w:val="auto"/>
                <w:sz w:val="30"/>
                <w:szCs w:val="30"/>
                <w:lang w:eastAsia="en-US"/>
              </w:rPr>
              <w:t>总计</w:t>
            </w:r>
          </w:p>
        </w:tc>
        <w:tc>
          <w:tcPr>
            <w:tcW w:w="1331"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en-US"/>
              </w:rPr>
            </w:pPr>
            <w:r>
              <w:rPr>
                <w:rFonts w:hint="eastAsia" w:ascii="仿宋" w:hAnsi="仿宋" w:eastAsia="仿宋" w:cs="仿宋"/>
                <w:color w:val="auto"/>
                <w:sz w:val="30"/>
                <w:szCs w:val="30"/>
                <w:lang w:eastAsia="zh-CN"/>
              </w:rPr>
              <w:t>9.5</w:t>
            </w:r>
            <w:r>
              <w:rPr>
                <w:rFonts w:hint="eastAsia" w:ascii="仿宋" w:hAnsi="仿宋" w:eastAsia="仿宋" w:cs="仿宋"/>
                <w:color w:val="auto"/>
                <w:sz w:val="30"/>
                <w:szCs w:val="30"/>
                <w:lang w:eastAsia="en-US"/>
              </w:rPr>
              <w:t>小时</w:t>
            </w:r>
          </w:p>
        </w:tc>
        <w:tc>
          <w:tcPr>
            <w:tcW w:w="992"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en-US"/>
              </w:rPr>
            </w:pPr>
            <w:r>
              <w:rPr>
                <w:rFonts w:hint="eastAsia" w:ascii="仿宋" w:hAnsi="仿宋" w:eastAsia="仿宋" w:cs="仿宋"/>
                <w:color w:val="auto"/>
                <w:sz w:val="30"/>
                <w:szCs w:val="30"/>
                <w:lang w:eastAsia="en-US"/>
              </w:rPr>
              <w:t>100分</w:t>
            </w:r>
          </w:p>
        </w:tc>
        <w:tc>
          <w:tcPr>
            <w:tcW w:w="2268" w:type="dxa"/>
            <w:vAlign w:val="center"/>
          </w:tcPr>
          <w:p>
            <w:pPr>
              <w:pStyle w:val="9"/>
              <w:keepNext w:val="0"/>
              <w:keepLines w:val="0"/>
              <w:pageBreakBefore w:val="0"/>
              <w:widowControl w:val="0"/>
              <w:kinsoku/>
              <w:wordWrap/>
              <w:overflowPunct/>
              <w:topLinePunct w:val="0"/>
              <w:autoSpaceDE w:val="0"/>
              <w:autoSpaceDN w:val="0"/>
              <w:bidi w:val="0"/>
              <w:adjustRightInd/>
              <w:snapToGrid/>
              <w:spacing w:after="0" w:line="600" w:lineRule="exact"/>
              <w:ind w:left="0" w:leftChars="0"/>
              <w:jc w:val="center"/>
              <w:textAlignment w:val="auto"/>
              <w:rPr>
                <w:rFonts w:hint="eastAsia" w:ascii="仿宋" w:hAnsi="仿宋" w:eastAsia="仿宋" w:cs="仿宋"/>
                <w:color w:val="auto"/>
                <w:sz w:val="30"/>
                <w:szCs w:val="30"/>
                <w:lang w:eastAsia="en-US"/>
              </w:rPr>
            </w:pPr>
          </w:p>
        </w:tc>
      </w:tr>
    </w:tbl>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val="0"/>
          <w:bCs/>
          <w:color w:val="auto"/>
        </w:rPr>
      </w:pPr>
      <w:bookmarkStart w:id="18" w:name="五、赛项创新点"/>
      <w:bookmarkEnd w:id="18"/>
      <w:bookmarkStart w:id="19" w:name="_Toc175901971"/>
      <w:r>
        <w:rPr>
          <w:rFonts w:hint="eastAsia" w:ascii="仿宋" w:hAnsi="仿宋" w:eastAsia="仿宋" w:cs="仿宋"/>
          <w:b/>
          <w:bCs w:val="0"/>
          <w:color w:val="auto"/>
        </w:rPr>
        <w:t>（四）评判方式及方法</w:t>
      </w:r>
      <w:bookmarkEnd w:id="19"/>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bookmarkStart w:id="20" w:name="_Toc76885617"/>
      <w:r>
        <w:rPr>
          <w:rFonts w:hint="eastAsia" w:ascii="仿宋" w:hAnsi="仿宋" w:eastAsia="仿宋" w:cs="仿宋"/>
          <w:color w:val="auto"/>
          <w:sz w:val="32"/>
          <w:szCs w:val="32"/>
        </w:rPr>
        <w:t>1．评判流程</w:t>
      </w:r>
      <w:bookmarkEnd w:id="20"/>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（1）裁判组实行“裁判长负责制”，设裁判长1名，全面负责赛项的裁判与管理工作。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（2）裁判员根据比赛工作需要分为检录裁判、加密裁判、现场裁判和评分裁判，检录裁判、加密裁判不得参与评分工作。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1）检录裁判负责对参赛队伍（选手）进行点名登记、身份核对等工作。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2）加密裁判负责组织参赛队伍（选手）抽签并对参赛队伍（选手）的信息进行加密、解密。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3）现场裁判按规定做好赛场记录，维护赛场纪律。</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4）评分裁判负责对参赛队伍（选手）的技能展示、操作规范和竞赛作品等按赛项评分标准进行评定。</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（3）赛项裁判组负责赛项成绩评定工作，现场裁判对现场检测数据、操作行为进行记录，不予以评判；评分裁判按每2～4人一组进行主观或客观分评价；赛前对裁判进行一定的培训，统一执裁标准。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（4）参赛选手根据赛项任务书的要求进行操作，根据注意操作要求，需要记录的内容要记录在比赛试题中，需要裁判确认的内容必须经过裁判员的签字确认，否则不得分。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（5）违规扣分情况</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选手有下列情形，需从参赛成绩中扣分：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1）在完成竞赛任务的过程中，因操作不当导致事故，扣10～20分，情况严重者取消比赛资格。</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2）因违规操作损坏赛场提供的设备，污染赛场环境等不符合职业规范的行为，视情节扣5～10分。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3）扰乱赛场秩序，干扰裁判员工作，视情节扣5～10分，情况严重者取消比赛资格。</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赛项裁判组本着“公平、公正、公开、科学、规范、透明、无异议”的原则，根据裁判的现场记录、参赛选手的赛项任务书及评分标准，通过多方面进行综合评价，最终按总评分得分高低，确定参赛选手奖项归属。</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评分方式结合世界技能大赛的方式，以小组为单位，裁判相互监督，成对检测、评分结果进行一查、二审、三复核。确保评分环节准确、公正。成绩经工作人员统计，组委会、裁判组、仲裁组分别核准后，闭幕式上公布。</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bookmarkStart w:id="21" w:name="_Toc76885618"/>
      <w:r>
        <w:rPr>
          <w:rFonts w:hint="eastAsia" w:ascii="仿宋" w:hAnsi="仿宋" w:eastAsia="仿宋" w:cs="仿宋"/>
          <w:color w:val="auto"/>
          <w:sz w:val="32"/>
          <w:szCs w:val="32"/>
        </w:rPr>
        <w:t>2．评判方法</w:t>
      </w:r>
      <w:bookmarkEnd w:id="21"/>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（1）选手递交的设计图纸、模型需要有一定独创性，要和给定的样题模型具有一定的区别度，否则裁判组会根据评分标准对具有抄袭嫌疑作品扣减主观分。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（2）对选手递交的加工零部件，将根据评分标准要求并结合选手提交图纸上技术标注进行评分。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（3）产品的创新性和外观质量采用主观评分。</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22" w:name="_Toc175901972"/>
      <w:r>
        <w:rPr>
          <w:rFonts w:hint="eastAsia" w:ascii="仿宋" w:hAnsi="仿宋" w:eastAsia="仿宋" w:cs="仿宋"/>
          <w:b/>
          <w:bCs w:val="0"/>
          <w:color w:val="auto"/>
        </w:rPr>
        <w:t>（五）成绩管理及奖项设定</w:t>
      </w:r>
      <w:bookmarkEnd w:id="22"/>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bookmarkStart w:id="23" w:name="_Toc76885619"/>
      <w:bookmarkStart w:id="24" w:name="_Toc76885621"/>
      <w:r>
        <w:rPr>
          <w:rFonts w:hint="eastAsia" w:ascii="仿宋" w:hAnsi="仿宋" w:eastAsia="仿宋" w:cs="仿宋"/>
          <w:color w:val="auto"/>
          <w:sz w:val="32"/>
          <w:szCs w:val="32"/>
        </w:rPr>
        <w:t>1．成绩复核</w:t>
      </w:r>
      <w:bookmarkEnd w:id="23"/>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为保障成绩评判的准确性，监督组将对赛项总成绩排名前30%的所有参赛选手的成绩进行复核；对其余成绩进行抽检复核，抽检覆盖率不得低于15%。如发现成绩错误以书面方式及时告知裁判长，由裁判长更正成绩并签字确认。复核、抽检错误率超过5%的，裁判组将对所有成绩进行复核。</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bookmarkStart w:id="25" w:name="_Toc76885620"/>
      <w:r>
        <w:rPr>
          <w:rFonts w:hint="eastAsia" w:ascii="仿宋" w:hAnsi="仿宋" w:eastAsia="仿宋" w:cs="仿宋"/>
          <w:color w:val="auto"/>
          <w:sz w:val="32"/>
          <w:szCs w:val="32"/>
        </w:rPr>
        <w:t>2．最终成绩</w:t>
      </w:r>
      <w:bookmarkEnd w:id="25"/>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赛项最终得分按100分制计分。最终成绩经复核无误，由裁判长、监督仲裁人员签字确认后公布。实际操作竞赛结束后24小时内公布最终成绩。</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3．成绩排序和奖项设定</w:t>
      </w:r>
      <w:bookmarkEnd w:id="24"/>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名次排序根据选手竞赛总分评定结果从高到低依次排定。如比赛成绩相同，完成实操竞赛得分高者名次在前；如比赛成绩相同、完成实操竞赛分值相同时，则实际操作竞赛模块六产品装配验证得分高者名次在前；如比赛成绩相同、完成实操竞赛分值相同、实际操作竞赛模块六产品装配装饰验证分值相同、则实际操作竞赛模块五产品检测与分析得分高者名次在前。</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（2）奖项设定按</w:t>
      </w:r>
      <w:r>
        <w:rPr>
          <w:rFonts w:hint="eastAsia" w:ascii="仿宋" w:hAnsi="仿宋" w:eastAsia="仿宋" w:cs="仿宋"/>
          <w:color w:val="auto"/>
          <w:sz w:val="32"/>
          <w:szCs w:val="32"/>
          <w:lang w:val="en-US" w:eastAsia="zh-CN"/>
        </w:rPr>
        <w:t>《省二轻集团、省人力资源社会保障厅、省总工会关于举办2024年浙江省工业设计职业技能竞赛暨第四届全国工业设计职业技能大赛浙江省选拔赛的通知》（浙轻司〔2024〕45号）</w:t>
      </w:r>
      <w:r>
        <w:rPr>
          <w:rFonts w:hint="eastAsia" w:ascii="仿宋" w:hAnsi="仿宋" w:eastAsia="仿宋" w:cs="仿宋"/>
          <w:color w:val="auto"/>
          <w:sz w:val="32"/>
          <w:szCs w:val="32"/>
        </w:rPr>
        <w:t>执行。</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sz w:val="32"/>
          <w:lang w:eastAsia="zh-CN"/>
        </w:rPr>
      </w:pPr>
      <w:bookmarkStart w:id="26" w:name="_Toc175901973"/>
      <w:r>
        <w:rPr>
          <w:rFonts w:hint="eastAsia" w:ascii="仿宋" w:hAnsi="仿宋" w:eastAsia="仿宋" w:cs="仿宋"/>
          <w:b/>
          <w:bCs w:val="0"/>
          <w:color w:val="auto"/>
          <w:sz w:val="32"/>
          <w:lang w:eastAsia="zh-CN"/>
        </w:rPr>
        <w:t>三、竞赛细则</w:t>
      </w:r>
      <w:bookmarkEnd w:id="26"/>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27" w:name="_Toc175901974"/>
      <w:r>
        <w:rPr>
          <w:rFonts w:hint="eastAsia" w:ascii="仿宋" w:hAnsi="仿宋" w:eastAsia="仿宋" w:cs="仿宋"/>
          <w:b/>
          <w:bCs w:val="0"/>
          <w:color w:val="auto"/>
        </w:rPr>
        <w:t>（一）竞赛日程</w:t>
      </w:r>
      <w:bookmarkEnd w:id="27"/>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场次安排：根据参赛选手报名人数决定实际配置设备数量和实操竞赛场次。</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工位抽签：赛前由选手通过抽签决定竞赛工位。</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灯具设计师（工业设计）竞赛日程安排参见表4。竞赛前将根据参赛人数、竞赛批次等做出详细日程表。</w:t>
      </w:r>
    </w:p>
    <w:p>
      <w:pPr>
        <w:pageBreakBefore w:val="0"/>
        <w:kinsoku/>
        <w:wordWrap/>
        <w:overflowPunct/>
        <w:topLinePunct w:val="0"/>
        <w:bidi w:val="0"/>
        <w:spacing w:line="600" w:lineRule="exact"/>
        <w:ind w:left="0" w:leftChars="0" w:firstLine="0" w:firstLineChars="0"/>
        <w:jc w:val="center"/>
        <w:textAlignment w:val="auto"/>
        <w:rPr>
          <w:rFonts w:hint="eastAsia"/>
        </w:rPr>
      </w:pPr>
      <w:r>
        <w:rPr>
          <w:rFonts w:hint="eastAsia" w:ascii="仿宋" w:hAnsi="仿宋" w:eastAsia="仿宋" w:cs="仿宋"/>
          <w:b/>
          <w:bCs/>
          <w:color w:val="auto"/>
          <w:sz w:val="30"/>
          <w:szCs w:val="30"/>
        </w:rPr>
        <w:t>表4竞赛日程安排表（以实际安排为准）</w:t>
      </w:r>
    </w:p>
    <w:tbl>
      <w:tblPr>
        <w:tblStyle w:val="20"/>
        <w:tblpPr w:leftFromText="180" w:rightFromText="180" w:vertAnchor="text" w:horzAnchor="page" w:tblpXSpec="center" w:tblpY="742"/>
        <w:tblOverlap w:val="never"/>
        <w:tblW w:w="100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1696"/>
        <w:gridCol w:w="1787"/>
        <w:gridCol w:w="3315"/>
        <w:gridCol w:w="1872"/>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10" w:hRule="atLeast"/>
          <w:jc w:val="center"/>
        </w:trPr>
        <w:tc>
          <w:tcPr>
            <w:tcW w:w="1696" w:type="dxa"/>
            <w:shd w:val="clear" w:color="auto" w:fill="FFFFFF" w:themeFill="background1"/>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 w:hAnsi="仿宋" w:eastAsia="仿宋" w:cs="仿宋"/>
                <w:b/>
                <w:color w:val="auto"/>
                <w:kern w:val="0"/>
                <w:sz w:val="28"/>
                <w:szCs w:val="28"/>
              </w:rPr>
            </w:pPr>
            <w:bookmarkStart w:id="28" w:name="OLE_LINK1"/>
            <w:r>
              <w:rPr>
                <w:rFonts w:hint="eastAsia" w:ascii="仿宋" w:hAnsi="仿宋" w:eastAsia="仿宋" w:cs="仿宋"/>
                <w:b/>
                <w:color w:val="000000" w:themeColor="text1"/>
                <w:kern w:val="0"/>
                <w:sz w:val="28"/>
                <w:szCs w:val="28"/>
                <w14:textFill>
                  <w14:solidFill>
                    <w14:schemeClr w14:val="tx1"/>
                  </w14:solidFill>
                </w14:textFill>
              </w:rPr>
              <w:t>日期</w:t>
            </w: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时间</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内    容</w:t>
            </w:r>
          </w:p>
        </w:tc>
        <w:tc>
          <w:tcPr>
            <w:tcW w:w="1872" w:type="dxa"/>
            <w:shd w:val="clear" w:color="auto" w:fill="FFFFFF" w:themeFill="background1"/>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参与人员</w:t>
            </w: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65" w:hRule="atLeast"/>
          <w:jc w:val="center"/>
        </w:trPr>
        <w:tc>
          <w:tcPr>
            <w:tcW w:w="1696" w:type="dxa"/>
            <w:vMerge w:val="restar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赛前一天</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(C-1)</w:t>
            </w: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9:00-10:30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参赛人员、裁判报到</w:t>
            </w:r>
          </w:p>
        </w:tc>
        <w:tc>
          <w:tcPr>
            <w:tcW w:w="1872"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参赛人员、裁判、工作人员</w:t>
            </w: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115"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10:30-12:00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开幕式、</w:t>
            </w:r>
            <w:r>
              <w:rPr>
                <w:rFonts w:hint="eastAsia" w:ascii="仿宋" w:hAnsi="仿宋" w:eastAsia="仿宋" w:cs="仿宋"/>
                <w:color w:val="auto"/>
                <w:sz w:val="28"/>
                <w:szCs w:val="28"/>
              </w:rPr>
              <w:t>赛前安全培训及抽签</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参赛选手签署文明参赛与安全须知协议</w:t>
            </w:r>
          </w:p>
        </w:tc>
        <w:tc>
          <w:tcPr>
            <w:tcW w:w="1872"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选手、裁判员、工作人员    </w:t>
            </w: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085"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13:00-13:30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裁判员培训与任务分工 </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裁判员签署公平执裁协议</w:t>
            </w:r>
          </w:p>
        </w:tc>
        <w:tc>
          <w:tcPr>
            <w:tcW w:w="1872"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裁判员</w:t>
            </w: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5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13:30-15:30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选手适应设备场地、</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交验工具</w:t>
            </w:r>
          </w:p>
        </w:tc>
        <w:tc>
          <w:tcPr>
            <w:tcW w:w="1872"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选手、裁判员、工作人员</w:t>
            </w: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比赛场地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95"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16:00-17:00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理论考试</w:t>
            </w:r>
          </w:p>
        </w:tc>
        <w:tc>
          <w:tcPr>
            <w:tcW w:w="1872"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选手、裁判员、工作人员</w:t>
            </w: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计算机房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03" w:hRule="atLeast"/>
          <w:jc w:val="center"/>
        </w:trPr>
        <w:tc>
          <w:tcPr>
            <w:tcW w:w="1696" w:type="dxa"/>
            <w:vMerge w:val="restar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比赛第一天</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(C1)</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（职工组）</w:t>
            </w: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07:30-07:50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第一天检录、抽赛位号</w:t>
            </w:r>
          </w:p>
        </w:tc>
        <w:tc>
          <w:tcPr>
            <w:tcW w:w="1872" w:type="dxa"/>
            <w:vMerge w:val="restart"/>
            <w:shd w:val="clear" w:color="auto" w:fill="FFFFFF" w:themeFill="background1"/>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选手、裁判员、工作人员</w:t>
            </w: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检录区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65"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07:50-08:00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第一天操作竞赛赛前准备</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 w:hAnsi="仿宋" w:eastAsia="仿宋" w:cs="仿宋"/>
                <w:color w:val="auto"/>
                <w:sz w:val="28"/>
                <w:szCs w:val="28"/>
              </w:rPr>
            </w:pPr>
          </w:p>
        </w:tc>
        <w:tc>
          <w:tcPr>
            <w:tcW w:w="1357" w:type="dxa"/>
            <w:vMerge w:val="restar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设计区</w:t>
            </w:r>
          </w:p>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rPr>
            </w:pPr>
            <w:r>
              <w:rPr>
                <w:rFonts w:hint="eastAsia" w:ascii="仿宋" w:hAnsi="仿宋" w:eastAsia="仿宋" w:cs="仿宋"/>
                <w:color w:val="auto"/>
                <w:sz w:val="28"/>
                <w:szCs w:val="28"/>
              </w:rPr>
              <w:t>打印区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685"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8:00-11:30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操作技能竞赛</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10:00 提交3D打印数</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据，分组3D打印（10:00-12:30第一组打印，12:45-15:15第二组打印</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15:30-18:00第三组打印）</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 w:hAnsi="仿宋" w:eastAsia="仿宋" w:cs="仿宋"/>
                <w:color w:val="auto"/>
                <w:sz w:val="28"/>
                <w:szCs w:val="28"/>
              </w:rPr>
            </w:pPr>
          </w:p>
        </w:tc>
        <w:tc>
          <w:tcPr>
            <w:tcW w:w="1357"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2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11:30-12:00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午餐与休息（人员休息，打印机不停）</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35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12:00-18:00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操作技能竞赛</w:t>
            </w:r>
          </w:p>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分组三维扫描（13:00-13:20第一组扫描，13:30-13:50第二组扫描，14:00-14:20第三组扫描）</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设计区</w:t>
            </w:r>
          </w:p>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扫描区</w:t>
            </w:r>
          </w:p>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打印区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17:00-17:30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晚餐与休息（人员休息，打印机不停）</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9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18:00-18:30</w:t>
            </w:r>
          </w:p>
        </w:tc>
        <w:tc>
          <w:tcPr>
            <w:tcW w:w="33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产品装配装饰</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后处理区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16" w:hRule="atLeast"/>
          <w:jc w:val="center"/>
        </w:trPr>
        <w:tc>
          <w:tcPr>
            <w:tcW w:w="1696" w:type="dxa"/>
            <w:vMerge w:val="restar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p>
            <w:pPr>
              <w:pStyle w:val="9"/>
              <w:keepNext w:val="0"/>
              <w:keepLines w:val="0"/>
              <w:pageBreakBefore w:val="0"/>
              <w:widowControl w:val="0"/>
              <w:kinsoku/>
              <w:wordWrap/>
              <w:overflowPunct/>
              <w:topLinePunct w:val="0"/>
              <w:autoSpaceDE/>
              <w:autoSpaceDN/>
              <w:bidi w:val="0"/>
              <w:spacing w:after="0" w:line="400" w:lineRule="exact"/>
              <w:ind w:left="0" w:leftChars="0"/>
              <w:jc w:val="left"/>
              <w:textAlignment w:val="auto"/>
              <w:rPr>
                <w:rFonts w:hint="eastAsia" w:ascii="仿宋" w:hAnsi="仿宋" w:eastAsia="仿宋" w:cs="仿宋"/>
                <w:color w:val="auto"/>
              </w:rPr>
            </w:pP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比赛第二天</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(C2)</w:t>
            </w:r>
          </w:p>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（学生组）</w:t>
            </w:r>
          </w:p>
        </w:tc>
        <w:tc>
          <w:tcPr>
            <w:tcW w:w="178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07:30-07:50</w:t>
            </w:r>
          </w:p>
        </w:tc>
        <w:tc>
          <w:tcPr>
            <w:tcW w:w="331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第二天检录、抽赛位号</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选手、裁判员、工作人员</w:t>
            </w:r>
          </w:p>
        </w:tc>
        <w:tc>
          <w:tcPr>
            <w:tcW w:w="135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检录区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9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b/>
                <w:color w:val="auto"/>
                <w:sz w:val="28"/>
                <w:szCs w:val="28"/>
              </w:rPr>
            </w:pPr>
            <w:r>
              <w:rPr>
                <w:rFonts w:hint="eastAsia" w:ascii="仿宋" w:hAnsi="仿宋" w:eastAsia="仿宋" w:cs="仿宋"/>
                <w:color w:val="auto"/>
                <w:sz w:val="28"/>
                <w:szCs w:val="28"/>
              </w:rPr>
              <w:t>07:50-08:00</w:t>
            </w:r>
          </w:p>
        </w:tc>
        <w:tc>
          <w:tcPr>
            <w:tcW w:w="331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第二天操作竞赛赛前准备</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vMerge w:val="restart"/>
            <w:tcBorders>
              <w:top w:val="single" w:color="auto" w:sz="4" w:space="0"/>
              <w:left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设计区</w:t>
            </w:r>
          </w:p>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打印区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38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b/>
                <w:color w:val="auto"/>
                <w:sz w:val="28"/>
                <w:szCs w:val="28"/>
              </w:rPr>
            </w:pPr>
            <w:r>
              <w:rPr>
                <w:rFonts w:hint="eastAsia" w:ascii="仿宋" w:hAnsi="仿宋" w:eastAsia="仿宋" w:cs="仿宋"/>
                <w:color w:val="auto"/>
                <w:sz w:val="28"/>
                <w:szCs w:val="28"/>
              </w:rPr>
              <w:t>8:00-11:30</w:t>
            </w:r>
          </w:p>
        </w:tc>
        <w:tc>
          <w:tcPr>
            <w:tcW w:w="331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操作技能竞赛</w:t>
            </w:r>
          </w:p>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10:00 提交3D 打印数</w:t>
            </w:r>
          </w:p>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据，分组3D打印（10:00-12:30第一组打印，12:45-15:15第二组打印，15:30-18:00第三组打印）</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vMerge w:val="continue"/>
            <w:tcBorders>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87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b/>
                <w:color w:val="auto"/>
                <w:sz w:val="28"/>
                <w:szCs w:val="28"/>
              </w:rPr>
            </w:pPr>
            <w:r>
              <w:rPr>
                <w:rFonts w:hint="eastAsia" w:ascii="仿宋" w:hAnsi="仿宋" w:eastAsia="仿宋" w:cs="仿宋"/>
                <w:color w:val="auto"/>
                <w:sz w:val="28"/>
                <w:szCs w:val="28"/>
              </w:rPr>
              <w:t>11:30-12:00</w:t>
            </w:r>
          </w:p>
        </w:tc>
        <w:tc>
          <w:tcPr>
            <w:tcW w:w="331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午餐与休息（人员休息，打印机不停）</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075"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b/>
                <w:color w:val="auto"/>
                <w:sz w:val="28"/>
                <w:szCs w:val="28"/>
              </w:rPr>
            </w:pPr>
            <w:r>
              <w:rPr>
                <w:rFonts w:hint="eastAsia" w:ascii="仿宋" w:hAnsi="仿宋" w:eastAsia="仿宋" w:cs="仿宋"/>
                <w:color w:val="auto"/>
                <w:sz w:val="28"/>
                <w:szCs w:val="28"/>
              </w:rPr>
              <w:t>12:00-18:00</w:t>
            </w:r>
          </w:p>
        </w:tc>
        <w:tc>
          <w:tcPr>
            <w:tcW w:w="331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操作技能竞赛</w:t>
            </w:r>
          </w:p>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分组三维扫描（13:00-13:20第一组扫描，13:30-13:50第二组扫描，14:00-14:20第三组扫描）</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设计区</w:t>
            </w:r>
          </w:p>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扫描区</w:t>
            </w:r>
          </w:p>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打印区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855"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b/>
                <w:color w:val="auto"/>
                <w:sz w:val="28"/>
                <w:szCs w:val="28"/>
              </w:rPr>
            </w:pPr>
            <w:r>
              <w:rPr>
                <w:rFonts w:hint="eastAsia" w:ascii="仿宋" w:hAnsi="仿宋" w:eastAsia="仿宋" w:cs="仿宋"/>
                <w:color w:val="auto"/>
                <w:sz w:val="28"/>
                <w:szCs w:val="28"/>
              </w:rPr>
              <w:t>17:00-17:30</w:t>
            </w:r>
          </w:p>
        </w:tc>
        <w:tc>
          <w:tcPr>
            <w:tcW w:w="331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晚餐与休息（人员休息，打印机不停）</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休息区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90" w:hRule="atLeast"/>
          <w:jc w:val="center"/>
        </w:trPr>
        <w:tc>
          <w:tcPr>
            <w:tcW w:w="1696"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jc w:val="left"/>
              <w:textAlignment w:val="auto"/>
              <w:rPr>
                <w:rFonts w:hint="eastAsia" w:ascii="仿宋" w:hAnsi="仿宋" w:eastAsia="仿宋" w:cs="仿宋"/>
                <w:b/>
                <w:color w:val="auto"/>
                <w:sz w:val="28"/>
                <w:szCs w:val="28"/>
              </w:rPr>
            </w:pPr>
          </w:p>
        </w:tc>
        <w:tc>
          <w:tcPr>
            <w:tcW w:w="178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b/>
                <w:color w:val="auto"/>
                <w:sz w:val="28"/>
                <w:szCs w:val="28"/>
              </w:rPr>
            </w:pPr>
            <w:r>
              <w:rPr>
                <w:rFonts w:hint="eastAsia" w:ascii="仿宋" w:hAnsi="仿宋" w:eastAsia="仿宋" w:cs="仿宋"/>
                <w:color w:val="auto"/>
                <w:sz w:val="28"/>
                <w:szCs w:val="28"/>
              </w:rPr>
              <w:t>18:00-18:30</w:t>
            </w:r>
          </w:p>
        </w:tc>
        <w:tc>
          <w:tcPr>
            <w:tcW w:w="331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产品装配装饰</w:t>
            </w:r>
          </w:p>
        </w:tc>
        <w:tc>
          <w:tcPr>
            <w:tcW w:w="1872"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p>
        </w:tc>
        <w:tc>
          <w:tcPr>
            <w:tcW w:w="135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pacing w:line="40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后处理区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90" w:hRule="atLeast"/>
          <w:jc w:val="center"/>
        </w:trPr>
        <w:tc>
          <w:tcPr>
            <w:tcW w:w="169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6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比赛第三天</w:t>
            </w:r>
          </w:p>
          <w:p>
            <w:pPr>
              <w:keepNext w:val="0"/>
              <w:keepLines w:val="0"/>
              <w:pageBreakBefore w:val="0"/>
              <w:widowControl w:val="0"/>
              <w:kinsoku/>
              <w:wordWrap/>
              <w:overflowPunct/>
              <w:topLinePunct w:val="0"/>
              <w:autoSpaceDE/>
              <w:autoSpaceDN/>
              <w:bidi w:val="0"/>
              <w:adjustRightInd w:val="0"/>
              <w:snapToGrid/>
              <w:spacing w:line="360" w:lineRule="exact"/>
              <w:jc w:val="left"/>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(C3)</w:t>
            </w:r>
          </w:p>
        </w:tc>
        <w:tc>
          <w:tcPr>
            <w:tcW w:w="178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0</w:t>
            </w:r>
            <w:r>
              <w:rPr>
                <w:rFonts w:hint="eastAsia" w:ascii="仿宋" w:hAnsi="仿宋" w:eastAsia="仿宋" w:cs="仿宋"/>
                <w:color w:val="auto"/>
                <w:sz w:val="28"/>
                <w:szCs w:val="28"/>
              </w:rPr>
              <w:t>0-9:</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0</w:t>
            </w:r>
          </w:p>
        </w:tc>
        <w:tc>
          <w:tcPr>
            <w:tcW w:w="3315"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40" w:lineRule="exact"/>
              <w:ind w:right="-109" w:rightChars="-52"/>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闭幕式/公布成绩</w:t>
            </w:r>
          </w:p>
        </w:tc>
        <w:tc>
          <w:tcPr>
            <w:tcW w:w="1872" w:type="dxa"/>
            <w:shd w:val="clear" w:color="auto" w:fill="FFFFFF" w:themeFill="background1"/>
            <w:vAlign w:val="center"/>
          </w:tcPr>
          <w:p>
            <w:pPr>
              <w:keepNext w:val="0"/>
              <w:keepLines w:val="0"/>
              <w:pageBreakBefore w:val="0"/>
              <w:widowControl w:val="0"/>
              <w:kinsoku/>
              <w:wordWrap/>
              <w:overflowPunct/>
              <w:topLinePunct w:val="0"/>
              <w:autoSpaceDE/>
              <w:autoSpaceDN/>
              <w:bidi w:val="0"/>
              <w:snapToGrid/>
              <w:spacing w:line="34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所有裁判、选手、工作人员</w:t>
            </w:r>
          </w:p>
        </w:tc>
        <w:tc>
          <w:tcPr>
            <w:tcW w:w="135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val="0"/>
              <w:snapToGrid/>
              <w:spacing w:line="360" w:lineRule="exact"/>
              <w:ind w:right="-109" w:rightChars="-52"/>
              <w:jc w:val="left"/>
              <w:textAlignment w:val="auto"/>
              <w:rPr>
                <w:rFonts w:hint="eastAsia" w:ascii="仿宋" w:hAnsi="仿宋" w:eastAsia="仿宋" w:cs="仿宋"/>
                <w:color w:val="auto"/>
                <w:sz w:val="28"/>
                <w:szCs w:val="28"/>
              </w:rPr>
            </w:pPr>
          </w:p>
        </w:tc>
      </w:tr>
      <w:bookmarkEnd w:id="28"/>
    </w:tbl>
    <w:p>
      <w:pPr>
        <w:pStyle w:val="3"/>
        <w:pageBreakBefore w:val="0"/>
        <w:numPr>
          <w:ilvl w:val="0"/>
          <w:numId w:val="0"/>
        </w:numPr>
        <w:kinsoku/>
        <w:wordWrap/>
        <w:overflowPunct/>
        <w:topLinePunct w:val="0"/>
        <w:autoSpaceDE/>
        <w:autoSpaceDN/>
        <w:bidi w:val="0"/>
        <w:adjustRightInd w:val="0"/>
        <w:snapToGrid/>
        <w:spacing w:before="0" w:after="0" w:line="600" w:lineRule="exact"/>
        <w:ind w:left="0" w:leftChars="0" w:firstLine="640" w:firstLineChars="200"/>
        <w:jc w:val="left"/>
        <w:textAlignment w:val="auto"/>
        <w:rPr>
          <w:rFonts w:hint="eastAsia" w:ascii="仿宋" w:hAnsi="仿宋" w:eastAsia="仿宋" w:cs="仿宋"/>
          <w:b/>
          <w:bCs w:val="0"/>
          <w:color w:val="auto"/>
        </w:rPr>
      </w:pPr>
      <w:bookmarkStart w:id="29" w:name="_Toc175901975"/>
      <w:r>
        <w:rPr>
          <w:rFonts w:hint="eastAsia" w:ascii="仿宋" w:hAnsi="仿宋" w:eastAsia="仿宋" w:cs="仿宋"/>
          <w:b/>
          <w:bCs w:val="0"/>
          <w:color w:val="auto"/>
        </w:rPr>
        <w:t>（二）裁判员及相关技术赛务支持人员工作要求</w:t>
      </w:r>
      <w:bookmarkEnd w:id="29"/>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b/>
          <w:bCs/>
          <w:color w:val="auto"/>
          <w:sz w:val="32"/>
          <w:szCs w:val="32"/>
        </w:rPr>
      </w:pPr>
      <w:bookmarkStart w:id="30" w:name="_Toc76885627"/>
      <w:r>
        <w:rPr>
          <w:rFonts w:hint="eastAsia" w:ascii="仿宋" w:hAnsi="仿宋" w:eastAsia="仿宋" w:cs="仿宋"/>
          <w:b w:val="0"/>
          <w:bCs w:val="0"/>
          <w:color w:val="auto"/>
          <w:sz w:val="32"/>
          <w:szCs w:val="32"/>
        </w:rPr>
        <w:t>1．裁判长</w:t>
      </w:r>
      <w:bookmarkEnd w:id="30"/>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赛场实行裁判长负责制，全面负责本赛项的竞赛执裁工作。裁判长由大赛组委会选派。</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b w:val="0"/>
          <w:bCs w:val="0"/>
          <w:color w:val="auto"/>
          <w:sz w:val="32"/>
          <w:szCs w:val="32"/>
        </w:rPr>
      </w:pPr>
      <w:bookmarkStart w:id="31" w:name="_Toc76885628"/>
      <w:r>
        <w:rPr>
          <w:rFonts w:hint="eastAsia" w:ascii="仿宋" w:hAnsi="仿宋" w:eastAsia="仿宋" w:cs="仿宋"/>
          <w:b w:val="0"/>
          <w:bCs w:val="0"/>
          <w:color w:val="auto"/>
          <w:sz w:val="32"/>
          <w:szCs w:val="32"/>
        </w:rPr>
        <w:t>2．裁判员的条件和组成</w:t>
      </w:r>
      <w:bookmarkEnd w:id="31"/>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（1）大赛裁判由大赛组委会选派。裁判员原则上执裁选派赛项，大赛</w:t>
      </w:r>
      <w:r>
        <w:rPr>
          <w:rFonts w:hint="eastAsia" w:ascii="仿宋" w:hAnsi="仿宋" w:eastAsia="仿宋" w:cs="仿宋"/>
          <w:color w:val="auto"/>
          <w:sz w:val="32"/>
          <w:szCs w:val="32"/>
          <w:lang w:val="en-US" w:eastAsia="zh-CN"/>
        </w:rPr>
        <w:t>组</w:t>
      </w:r>
      <w:r>
        <w:rPr>
          <w:rFonts w:hint="eastAsia" w:ascii="仿宋" w:hAnsi="仿宋" w:eastAsia="仿宋" w:cs="仿宋"/>
          <w:color w:val="auto"/>
          <w:sz w:val="32"/>
          <w:szCs w:val="32"/>
        </w:rPr>
        <w:t>委会可以根据工作需要调整裁判工作岗位。</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（2）选派裁判须具有相关职业技能竞赛裁判员资格。一旦确认担任裁判员工作后，比赛中途不得更换人选。若裁判员不能胜任裁判技术工作，由裁判长按照大赛组委会相关要求处理。</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裁判员应服从裁判长的管理，裁判员的工作由裁判长指派。在工作时间内，裁判员不得徇私舞弊、无故迟到、早退、中途离开工作地或放弃工作，否则将视其影响程度进行相应处理，直至取消裁判员资格并记录在案。</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（4）裁判员按工作需要，由裁判长将其分成现场裁判组、检测评分组两个小组开展工作。</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bookmarkStart w:id="32" w:name="_Toc76885629"/>
      <w:r>
        <w:rPr>
          <w:rFonts w:hint="eastAsia" w:ascii="仿宋" w:hAnsi="仿宋" w:eastAsia="仿宋" w:cs="仿宋"/>
          <w:color w:val="auto"/>
          <w:sz w:val="32"/>
          <w:szCs w:val="32"/>
        </w:rPr>
        <w:t>3．裁判员的工作内容</w:t>
      </w:r>
      <w:bookmarkEnd w:id="32"/>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（1）裁判员赛前培训。裁判员需在赛前参加裁判工作培训，掌握与执裁工作相关的竞赛技术规则、任务要求、评分标准、成绩管理、安全注意事项等。</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（2）现场执裁。现场裁判负责引导选手在赛位或等候区域等待竞赛指令。期间，现场裁判需向选手宣读竞赛须知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提醒选手遵照安全规定和操作规范进行比赛。现场裁判适时提醒选手比赛剩余时间，到竞赛结束时，选手仍未停止作业，现场裁判在确保安全前提下有权强制终止选手作业。现场裁判负责检查选手携带的物品，违规物品一律清出赛场。比赛结束后裁判员要命令选手停止加工，监督选手提交零件、图纸等比赛作品和文件。比赛换场期间，现场裁判须做好选手的隔离工作和比赛设备的复位工作。</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（3）检测评分。检测组裁判将和第三方检测人员一起对选手的作品进行检测和打分，完成检测的选手作品经过涂装处理后集中进行性能验证。</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（4）竞赛材料和作品管理。由现场执裁裁判在规定时间发放试卷、毛坯等竞赛材料，于赛后回收、密封所有竞赛作品和资料并将其交予赛项承办单位就地保存，填写《竞赛作品回收表》。</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（5）成绩复核及数据录入、统计。如在成绩复核中发现错误，裁判长须会同相关评分裁判更正成绩并签字确认。</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bookmarkStart w:id="33" w:name="_Toc76885630"/>
      <w:r>
        <w:rPr>
          <w:rFonts w:hint="eastAsia" w:ascii="仿宋" w:hAnsi="仿宋" w:eastAsia="仿宋" w:cs="仿宋"/>
          <w:color w:val="auto"/>
          <w:sz w:val="32"/>
          <w:szCs w:val="32"/>
        </w:rPr>
        <w:t>4．裁判员在评判中的纪律和要求</w:t>
      </w:r>
      <w:bookmarkEnd w:id="33"/>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（1）裁判员必须服从竞赛规则要求，认真履行相关工作职责和流程。裁判员在工作期间不得使用手机或摄录设备对选手模型、图纸和工件进行拍照，也不能对检测数据和评分表进行拍照。</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（2）对于检测技术的质疑只能向裁判长提出，并由裁判长视相关问题做出解释和解决。</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（3）每场比赛结束，现场裁判员需要负责收集每名选手提交的设计数据、打印图纸（文件）和加工工件。</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（4）现场裁判不得接近正在比赛的选手，不得在比赛选手附近评论或讨论任何问题。现场裁判须负责比赛过程的安全检查。</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（5）裁判长有权对评判结果造成不良影响等情况的裁判人员做出终止其裁判工作的处理。</w:t>
      </w:r>
    </w:p>
    <w:p>
      <w:pPr>
        <w:pStyle w:val="3"/>
        <w:pageBreakBefore w:val="0"/>
        <w:numPr>
          <w:ilvl w:val="0"/>
          <w:numId w:val="0"/>
        </w:numPr>
        <w:kinsoku/>
        <w:wordWrap/>
        <w:overflowPunct/>
        <w:topLinePunct w:val="0"/>
        <w:autoSpaceDE/>
        <w:autoSpaceDN/>
        <w:bidi w:val="0"/>
        <w:adjustRightInd w:val="0"/>
        <w:snapToGrid/>
        <w:spacing w:before="0" w:after="0" w:line="600" w:lineRule="exact"/>
        <w:ind w:left="0" w:leftChars="0" w:firstLine="640" w:firstLineChars="200"/>
        <w:jc w:val="left"/>
        <w:textAlignment w:val="auto"/>
        <w:rPr>
          <w:rFonts w:hint="eastAsia" w:ascii="仿宋" w:hAnsi="仿宋" w:eastAsia="仿宋" w:cs="仿宋"/>
          <w:b/>
          <w:bCs w:val="0"/>
          <w:color w:val="auto"/>
        </w:rPr>
      </w:pPr>
      <w:bookmarkStart w:id="34" w:name="_Toc175901976"/>
      <w:r>
        <w:rPr>
          <w:rFonts w:hint="eastAsia" w:ascii="仿宋" w:hAnsi="仿宋" w:eastAsia="仿宋" w:cs="仿宋"/>
          <w:b/>
          <w:bCs w:val="0"/>
          <w:color w:val="auto"/>
        </w:rPr>
        <w:t>（三）选手条件和工作内容</w:t>
      </w:r>
      <w:bookmarkEnd w:id="34"/>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b/>
          <w:bCs w:val="0"/>
          <w:color w:val="auto"/>
          <w:sz w:val="32"/>
          <w:szCs w:val="32"/>
        </w:rPr>
      </w:pPr>
      <w:bookmarkStart w:id="35" w:name="_Toc76885632"/>
      <w:r>
        <w:rPr>
          <w:rFonts w:hint="eastAsia" w:ascii="仿宋" w:hAnsi="仿宋" w:eastAsia="仿宋" w:cs="仿宋"/>
          <w:b w:val="0"/>
          <w:bCs/>
          <w:color w:val="auto"/>
          <w:sz w:val="32"/>
          <w:szCs w:val="32"/>
        </w:rPr>
        <w:t>1．选手的条件和要求</w:t>
      </w:r>
      <w:bookmarkEnd w:id="35"/>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单位的职工、技工院校及职业院校的在校教师和学生均可报名参加相应赛项和组别的竞赛。</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同一单位参加同一赛项的同一组别限报一队参赛选手。已获得“中华技能大奖”、“全国技术能手”、“全国五一劳动奖章”荣誉称号的人员不能报名参加大赛。</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b w:val="0"/>
          <w:bCs/>
          <w:color w:val="auto"/>
          <w:sz w:val="32"/>
          <w:szCs w:val="32"/>
        </w:rPr>
      </w:pPr>
      <w:bookmarkStart w:id="36" w:name="_Toc76885633"/>
      <w:r>
        <w:rPr>
          <w:rFonts w:hint="eastAsia" w:ascii="仿宋" w:hAnsi="仿宋" w:eastAsia="仿宋" w:cs="仿宋"/>
          <w:b w:val="0"/>
          <w:bCs/>
          <w:color w:val="auto"/>
          <w:sz w:val="32"/>
          <w:szCs w:val="32"/>
        </w:rPr>
        <w:t>2．选手的工作内容</w:t>
      </w:r>
      <w:bookmarkEnd w:id="36"/>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（1）选手在赛前有权利熟悉竞赛设备。</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1）赛前安排各参赛队选手统一有序的熟悉操作竞赛场地和设备，试用计算机软件、快速成型设备。</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2）熟悉场地时听从裁判员的管理，不发表没有根据以及有损大赛形象的言论。</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（2）到比赛结束时间，选手按照裁判员指令停止加工，并提交产品、图纸、电子数据等一切比赛文件。</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b w:val="0"/>
          <w:bCs/>
          <w:color w:val="auto"/>
          <w:sz w:val="32"/>
          <w:szCs w:val="32"/>
        </w:rPr>
      </w:pPr>
      <w:bookmarkStart w:id="37" w:name="_Toc76885634"/>
      <w:r>
        <w:rPr>
          <w:rFonts w:hint="eastAsia" w:ascii="仿宋" w:hAnsi="仿宋" w:eastAsia="仿宋" w:cs="仿宋"/>
          <w:b w:val="0"/>
          <w:bCs/>
          <w:color w:val="auto"/>
          <w:sz w:val="32"/>
          <w:szCs w:val="32"/>
        </w:rPr>
        <w:t>3．赛场纪律</w:t>
      </w:r>
      <w:bookmarkEnd w:id="37"/>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（1）选手在比赛期间不得使用手机、照相、录像等通信和数据存储设备，不得携带非大赛提供的U盘或数据存储器材。</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正式比赛期间，选手有问题应及时向裁判员反映；选手正常比赛时，裁判员不得主动接近或干涉选手；若选手需要技术支持，裁判员应及时通知相关人员前来解决；若需作出判决，则应报告裁判长，由裁判长决定。</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（3）比赛结束铃声响起以后，选手应立即停止工作。选手在3分钟之内必须把零件、图纸、U盘、草稿纸等一切加工文件提交给</w:t>
      </w:r>
      <w:r>
        <w:rPr>
          <w:rFonts w:hint="eastAsia" w:ascii="仿宋" w:hAnsi="仿宋" w:eastAsia="仿宋" w:cs="仿宋"/>
          <w:color w:val="auto"/>
          <w:sz w:val="32"/>
          <w:szCs w:val="32"/>
          <w:highlight w:val="none"/>
        </w:rPr>
        <w:t>裁判长，并签名确认。裁判长</w:t>
      </w:r>
      <w:r>
        <w:rPr>
          <w:rFonts w:hint="eastAsia" w:ascii="仿宋" w:hAnsi="仿宋" w:eastAsia="仿宋" w:cs="仿宋"/>
          <w:color w:val="auto"/>
          <w:sz w:val="32"/>
          <w:szCs w:val="32"/>
        </w:rPr>
        <w:t>或比赛监督须做好加密、装箱和保存工作。</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（4）比赛期间因软件或硬件故障导致选手延时的，比赛工位会有延时记录及两名裁判员的签字，选手可以适当延长比赛时间。</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（5）参赛选手不得擅自修改数控系统内的参数。</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（6）参赛选手如果违反前述相关规定和大赛组委会印发的竞赛技术规则，视违规程度，受到“罚去10～20分、不得进入前10名、取消竞赛资格”等不同级别的处罚。</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（7）选手文明参赛要求</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1）未经允许，选手不得自带任何纸质资料和存储工具，如出现较严重的违规、违纪、舞弊等现象，经裁判组裁定取消比赛成绩。</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2）参赛选手必须将全部数据文件存储至计算机指定盘符下，不按要求存储数据，导致数据丢失，责任自负。</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3）参赛选手的竞赛场次和工位号采取抽签的方式确定，竞赛场次签在赛前领队会上抽取，工位签在赛前检录时抽取。</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实际操作竞赛，参赛选手在赛前60分钟，凭参赛证和身份证（证明必须齐全）进入赛场检录，经裁判抽取赛位号后，由裁判长进行安全教育，赛前30分钟统一进入赛场，确认现场条件，赛前5分钟在发卷区域统一领取赛题，裁判长宣布比赛开始后才可操作。</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5）比赛过程中，选手若需休息、饮水或去洗手间，一律计算在比赛时间内。</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比赛过程中，参赛选手须严格遵守相关安全操作规程，禁止不安全操作和野蛮操作,确保人身及设备安全，并接受裁判员的监督和警示，若因选手个人因素造成人身安全事故和设备故障，不予延时，情节特别严重者，由大赛裁判组视具体情况做出处理决定（最高至终止比赛），并由裁判长上报大赛监督仲裁组；若因非选手个人因素造成设备故障，由大赛裁判组视具体情况做出延时处理并由裁判长上报大赛监督仲裁组。</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7）如果选手提前完成任务，需原地等待，不得离开赛场，直至本场比赛结束。</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8）裁判长在比赛结束前15分钟对选手做出提示。裁判长宣布比赛结束后，选手应完成作品与数据文件的提交并在登记簿上签字确认。</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9）选手离开现场前，应清理现场，包括工作台及周边卫生并恢复计算机、快速成型设备处于原始状态。经裁判员和现场工作人员确认后方可离开赛场。清理现场工作将在选手职业素养环节中进行评判。</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10）选手离开比赛场地时，不得将草稿纸考试数据文件等与比赛相关的资料或物品带离比赛现场。</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11）除现场裁判员和参赛选手外，其他人员不得进入比赛区域。赛场安全员、设备和软件技术支持人员、工作人员必须在指定区域等待，未经裁判长允许不得进入比赛区域，候场选手不得进入赛场。</w:t>
      </w:r>
    </w:p>
    <w:p>
      <w:pPr>
        <w:pStyle w:val="2"/>
        <w:pageBreakBefore w:val="0"/>
        <w:numPr>
          <w:ilvl w:val="0"/>
          <w:numId w:val="0"/>
        </w:numPr>
        <w:tabs>
          <w:tab w:val="left" w:pos="431"/>
          <w:tab w:val="clear" w:pos="360"/>
        </w:tabs>
        <w:kinsoku/>
        <w:wordWrap/>
        <w:overflowPunct/>
        <w:topLinePunct w:val="0"/>
        <w:autoSpaceDE/>
        <w:autoSpaceDN/>
        <w:bidi w:val="0"/>
        <w:adjustRightInd w:val="0"/>
        <w:snapToGrid/>
        <w:spacing w:before="0" w:after="0" w:line="600" w:lineRule="exact"/>
        <w:ind w:left="0" w:leftChars="0" w:firstLine="640" w:firstLineChars="200"/>
        <w:jc w:val="left"/>
        <w:textAlignment w:val="auto"/>
        <w:rPr>
          <w:rFonts w:hint="eastAsia" w:ascii="仿宋" w:hAnsi="仿宋" w:eastAsia="仿宋" w:cs="仿宋"/>
          <w:b/>
          <w:bCs w:val="0"/>
          <w:color w:val="auto"/>
          <w:sz w:val="32"/>
          <w:lang w:eastAsia="zh-CN"/>
        </w:rPr>
      </w:pPr>
      <w:bookmarkStart w:id="38" w:name="_Toc175901977"/>
      <w:r>
        <w:rPr>
          <w:rFonts w:hint="eastAsia" w:ascii="仿宋" w:hAnsi="仿宋" w:eastAsia="仿宋" w:cs="仿宋"/>
          <w:b/>
          <w:bCs w:val="0"/>
          <w:color w:val="auto"/>
          <w:sz w:val="32"/>
          <w:lang w:eastAsia="zh-CN"/>
        </w:rPr>
        <w:t>四、竞赛场地、设施设备安排</w:t>
      </w:r>
      <w:bookmarkEnd w:id="38"/>
    </w:p>
    <w:p>
      <w:pPr>
        <w:pStyle w:val="3"/>
        <w:pageBreakBefore w:val="0"/>
        <w:numPr>
          <w:ilvl w:val="0"/>
          <w:numId w:val="0"/>
        </w:numPr>
        <w:kinsoku/>
        <w:wordWrap/>
        <w:overflowPunct/>
        <w:topLinePunct w:val="0"/>
        <w:autoSpaceDE/>
        <w:autoSpaceDN/>
        <w:bidi w:val="0"/>
        <w:adjustRightInd w:val="0"/>
        <w:snapToGrid/>
        <w:spacing w:before="0" w:after="0" w:line="600" w:lineRule="exact"/>
        <w:ind w:left="0" w:leftChars="0" w:firstLine="640" w:firstLineChars="200"/>
        <w:jc w:val="left"/>
        <w:textAlignment w:val="auto"/>
        <w:rPr>
          <w:rFonts w:hint="eastAsia" w:ascii="仿宋" w:hAnsi="仿宋" w:eastAsia="仿宋" w:cs="仿宋"/>
          <w:b/>
          <w:bCs w:val="0"/>
          <w:color w:val="auto"/>
        </w:rPr>
      </w:pPr>
      <w:bookmarkStart w:id="39" w:name="_Toc175901978"/>
      <w:r>
        <w:rPr>
          <w:rFonts w:hint="eastAsia" w:ascii="仿宋" w:hAnsi="仿宋" w:eastAsia="仿宋" w:cs="仿宋"/>
          <w:b/>
          <w:bCs w:val="0"/>
          <w:color w:val="auto"/>
        </w:rPr>
        <w:t>（一）赛场规格要求</w:t>
      </w:r>
      <w:bookmarkEnd w:id="39"/>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bookmarkStart w:id="40" w:name="_Toc76885637"/>
      <w:r>
        <w:rPr>
          <w:rFonts w:hint="eastAsia" w:ascii="仿宋" w:hAnsi="仿宋" w:eastAsia="仿宋" w:cs="仿宋"/>
          <w:color w:val="auto"/>
          <w:sz w:val="32"/>
          <w:szCs w:val="32"/>
        </w:rPr>
        <w:t>1．场地面积要求</w:t>
      </w:r>
      <w:bookmarkEnd w:id="40"/>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除设备占用面积以外，选手操作面积至少需要5平方米。赛场要为选手留有集合准备的室内空间。要为裁判员留有执裁空间。赛场必须备有通风设备，保证赛场内空气流通和清洁。</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bookmarkStart w:id="41" w:name="_Toc76885638"/>
      <w:r>
        <w:rPr>
          <w:rFonts w:hint="eastAsia" w:ascii="仿宋" w:hAnsi="仿宋" w:eastAsia="仿宋" w:cs="仿宋"/>
          <w:color w:val="auto"/>
          <w:sz w:val="32"/>
          <w:szCs w:val="32"/>
        </w:rPr>
        <w:t>2．场地照明要求</w:t>
      </w:r>
      <w:bookmarkEnd w:id="41"/>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竞赛场地照明应充足、柔和。</w:t>
      </w:r>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bookmarkStart w:id="42" w:name="_Toc76885639"/>
      <w:r>
        <w:rPr>
          <w:rFonts w:hint="eastAsia" w:ascii="仿宋" w:hAnsi="仿宋" w:eastAsia="仿宋" w:cs="仿宋"/>
          <w:color w:val="auto"/>
          <w:sz w:val="32"/>
          <w:szCs w:val="32"/>
        </w:rPr>
        <w:t>3．场地消防和逃生要求</w:t>
      </w:r>
      <w:bookmarkEnd w:id="42"/>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赛场必须留有安全通道。竞赛前必须明确告诉选手和裁判员安全通道和安全门位置。赛场必须配备灭火设备，并置于显著位置。赛场组织人员要做好竞赛安全、健康和公共卫生及突发事件预防与应急处理等工作。</w:t>
      </w:r>
    </w:p>
    <w:p>
      <w:pPr>
        <w:pStyle w:val="3"/>
        <w:pageBreakBefore w:val="0"/>
        <w:numPr>
          <w:ilvl w:val="0"/>
          <w:numId w:val="0"/>
        </w:numPr>
        <w:kinsoku/>
        <w:wordWrap/>
        <w:overflowPunct/>
        <w:topLinePunct w:val="0"/>
        <w:autoSpaceDE/>
        <w:autoSpaceDN/>
        <w:bidi w:val="0"/>
        <w:adjustRightInd w:val="0"/>
        <w:snapToGrid/>
        <w:spacing w:before="0" w:after="0" w:line="600" w:lineRule="exact"/>
        <w:ind w:left="0" w:leftChars="0" w:firstLine="640" w:firstLineChars="200"/>
        <w:jc w:val="left"/>
        <w:textAlignment w:val="auto"/>
        <w:rPr>
          <w:rFonts w:hint="eastAsia" w:ascii="仿宋" w:hAnsi="仿宋" w:eastAsia="仿宋" w:cs="仿宋"/>
          <w:b/>
          <w:bCs w:val="0"/>
          <w:color w:val="auto"/>
        </w:rPr>
      </w:pPr>
      <w:bookmarkStart w:id="43" w:name="_Toc175901979"/>
      <w:r>
        <w:rPr>
          <w:rFonts w:hint="eastAsia" w:ascii="仿宋" w:hAnsi="仿宋" w:eastAsia="仿宋" w:cs="仿宋"/>
          <w:b/>
          <w:bCs w:val="0"/>
          <w:color w:val="auto"/>
        </w:rPr>
        <w:t>（二）基础设施</w:t>
      </w:r>
      <w:bookmarkEnd w:id="43"/>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bookmarkStart w:id="44" w:name="_Toc76885642"/>
      <w:r>
        <w:rPr>
          <w:rFonts w:hint="eastAsia" w:ascii="仿宋" w:hAnsi="仿宋" w:eastAsia="仿宋" w:cs="仿宋"/>
          <w:color w:val="auto"/>
          <w:sz w:val="32"/>
          <w:szCs w:val="32"/>
        </w:rPr>
        <w:t>1．设计软件及工业设计协同创新平台</w:t>
      </w:r>
      <w:bookmarkEnd w:id="44"/>
    </w:p>
    <w:p>
      <w:pPr>
        <w:pageBreakBefore w:val="0"/>
        <w:kinsoku/>
        <w:wordWrap/>
        <w:overflowPunct/>
        <w:topLinePunct w:val="0"/>
        <w:autoSpaceDE/>
        <w:autoSpaceDN/>
        <w:bidi w:val="0"/>
        <w:adjustRightInd w:val="0"/>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赛场计算机预装有相关软件，作为比赛使用软件，提供工业设计协同创新平台，具体如表5所示。</w:t>
      </w:r>
    </w:p>
    <w:p>
      <w:pPr>
        <w:pStyle w:val="9"/>
        <w:pageBreakBefore w:val="0"/>
        <w:kinsoku/>
        <w:wordWrap/>
        <w:overflowPunct/>
        <w:topLinePunct w:val="0"/>
        <w:autoSpaceDE/>
        <w:autoSpaceDN/>
        <w:bidi w:val="0"/>
        <w:adjustRightInd w:val="0"/>
        <w:snapToGrid/>
        <w:spacing w:after="0" w:line="600" w:lineRule="exact"/>
        <w:ind w:left="0" w:leftChars="0" w:firstLine="0" w:firstLineChars="0"/>
        <w:jc w:val="center"/>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表5 设计软件及工业设计协同创新平台</w:t>
      </w:r>
    </w:p>
    <w:tbl>
      <w:tblPr>
        <w:tblStyle w:val="20"/>
        <w:tblW w:w="9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1215"/>
        <w:gridCol w:w="1474"/>
        <w:gridCol w:w="6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57" w:hRule="atLeast"/>
          <w:jc w:val="center"/>
        </w:trPr>
        <w:tc>
          <w:tcPr>
            <w:tcW w:w="1215"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pacing w:line="400" w:lineRule="exact"/>
              <w:ind w:left="0" w:leftChars="0" w:right="0" w:rightChars="0" w:firstLine="72" w:firstLineChars="26"/>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组别</w:t>
            </w:r>
          </w:p>
        </w:tc>
        <w:tc>
          <w:tcPr>
            <w:tcW w:w="1474"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leftChars="0" w:right="0" w:rightChars="0"/>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类别</w:t>
            </w:r>
          </w:p>
        </w:tc>
        <w:tc>
          <w:tcPr>
            <w:tcW w:w="652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leftChars="0" w:right="0" w:rightChars="0"/>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使用软件/设备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0" w:hRule="atLeast"/>
          <w:jc w:val="center"/>
        </w:trPr>
        <w:tc>
          <w:tcPr>
            <w:tcW w:w="1215" w:type="dxa"/>
            <w:vMerge w:val="restar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leftChars="0" w:right="0" w:right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职工组、学生组</w:t>
            </w:r>
          </w:p>
        </w:tc>
        <w:tc>
          <w:tcPr>
            <w:tcW w:w="1474"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pacing w:line="400" w:lineRule="exact"/>
              <w:ind w:left="0" w:leftChars="0" w:right="0" w:right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设计软件</w:t>
            </w:r>
          </w:p>
        </w:tc>
        <w:tc>
          <w:tcPr>
            <w:tcW w:w="652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leftChars="0" w:right="0" w:rightChars="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中望3D平台设计2024、中望CAD机械设计2024、Fusion360、KeyShot、adobe photoshop、adobe illustrator、 adobe premiere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339" w:hRule="atLeast"/>
          <w:jc w:val="center"/>
        </w:trPr>
        <w:tc>
          <w:tcPr>
            <w:tcW w:w="1215" w:type="dxa"/>
            <w:vMerge w:val="continue"/>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ind w:left="0" w:leftChars="0" w:right="0" w:rightChars="0"/>
              <w:jc w:val="left"/>
              <w:textAlignment w:val="auto"/>
              <w:rPr>
                <w:rFonts w:hint="eastAsia" w:ascii="仿宋" w:hAnsi="仿宋" w:eastAsia="仿宋" w:cs="仿宋"/>
                <w:color w:val="auto"/>
                <w:sz w:val="28"/>
                <w:szCs w:val="28"/>
              </w:rPr>
            </w:pPr>
          </w:p>
        </w:tc>
        <w:tc>
          <w:tcPr>
            <w:tcW w:w="1474"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pacing w:line="400" w:lineRule="exact"/>
              <w:ind w:left="0" w:leftChars="0" w:right="0" w:rightChars="0"/>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工业设计协同创新平台</w:t>
            </w:r>
          </w:p>
        </w:tc>
        <w:tc>
          <w:tcPr>
            <w:tcW w:w="652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pacing w:line="400" w:lineRule="exact"/>
              <w:ind w:left="0" w:leftChars="0" w:right="0" w:rightChars="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中优工业设计协同创新平台（工业设计协同创新知识库（WEB版）模块、数据采集检测模块、快速成型模块、后处理模块）</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注：以上软件赛场统一提供，不允许选手自带其他正版软件。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bookmarkStart w:id="45" w:name="_Toc76885643"/>
      <w:r>
        <w:rPr>
          <w:rFonts w:hint="eastAsia" w:ascii="仿宋" w:hAnsi="仿宋" w:eastAsia="仿宋" w:cs="仿宋"/>
          <w:color w:val="auto"/>
          <w:sz w:val="32"/>
          <w:szCs w:val="32"/>
        </w:rPr>
        <w:t>2．工位配套器材</w:t>
      </w:r>
      <w:bookmarkEnd w:id="45"/>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竞赛工位设备与配置情况见表6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 xml:space="preserve">实际配置设备数量和设计工位图形工作站数根据参赛选手人数定。 </w:t>
      </w:r>
    </w:p>
    <w:p>
      <w:pPr>
        <w:pStyle w:val="9"/>
        <w:pageBreakBefore w:val="0"/>
        <w:kinsoku/>
        <w:wordWrap/>
        <w:overflowPunct/>
        <w:topLinePunct w:val="0"/>
        <w:bidi w:val="0"/>
        <w:spacing w:line="600" w:lineRule="exact"/>
        <w:ind w:left="0" w:leftChars="0"/>
        <w:jc w:val="center"/>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表6 工位配套器材</w:t>
      </w:r>
    </w:p>
    <w:tbl>
      <w:tblPr>
        <w:tblStyle w:val="20"/>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1918"/>
        <w:gridCol w:w="7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85" w:hRule="atLeast"/>
        </w:trPr>
        <w:tc>
          <w:tcPr>
            <w:tcW w:w="19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名称</w:t>
            </w:r>
          </w:p>
        </w:tc>
        <w:tc>
          <w:tcPr>
            <w:tcW w:w="700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1397" w:hRule="atLeast"/>
        </w:trPr>
        <w:tc>
          <w:tcPr>
            <w:tcW w:w="19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设计工位图形工作站</w:t>
            </w:r>
          </w:p>
        </w:tc>
        <w:tc>
          <w:tcPr>
            <w:tcW w:w="700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图形工作站：处理器：不低于i7或兼容处理器，主频3GHz以上；内存：不低于16G；显卡：4G独立显卡；硬盘：可用磁盘空间（用于安装）不低于200G；通讯接口：局域网，不低于100M网速;操作系统：Windows10 pro操作系统、安装有系统还原卡。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110" w:hRule="atLeast"/>
        </w:trPr>
        <w:tc>
          <w:tcPr>
            <w:tcW w:w="19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数据采集工位图形工作站</w:t>
            </w:r>
          </w:p>
        </w:tc>
        <w:tc>
          <w:tcPr>
            <w:tcW w:w="700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图形工作站：处理器：不低于i7或兼容处理器，主频3GHz以上；内存：不低于16G；显卡：6G独立显卡；硬盘：可用磁盘空间（用于安装）不低于200G；通讯接口：局域网，不低于100M网速;操作系统：Windows10 pro操作系统、安装有系统还原卡。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45" w:hRule="atLeast"/>
        </w:trPr>
        <w:tc>
          <w:tcPr>
            <w:tcW w:w="19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工作配套软件</w:t>
            </w:r>
          </w:p>
        </w:tc>
        <w:tc>
          <w:tcPr>
            <w:tcW w:w="700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Office或WPS，PDF阅读器，解压缩软件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874" w:hRule="atLeast"/>
        </w:trPr>
        <w:tc>
          <w:tcPr>
            <w:tcW w:w="191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A3图纸打印复印机</w:t>
            </w:r>
          </w:p>
        </w:tc>
        <w:tc>
          <w:tcPr>
            <w:tcW w:w="7008"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彩色打印复印一体机</w:t>
            </w:r>
          </w:p>
        </w:tc>
      </w:tr>
    </w:tbl>
    <w:p>
      <w:pPr>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color w:val="auto"/>
          <w:sz w:val="32"/>
          <w:szCs w:val="32"/>
        </w:rPr>
      </w:pPr>
      <w:bookmarkStart w:id="46" w:name="_Toc76885644"/>
      <w:r>
        <w:rPr>
          <w:rFonts w:hint="eastAsia" w:ascii="仿宋" w:hAnsi="仿宋" w:eastAsia="仿宋" w:cs="仿宋"/>
          <w:color w:val="auto"/>
          <w:sz w:val="32"/>
          <w:szCs w:val="32"/>
        </w:rPr>
        <w:t>3．工具和量具</w:t>
      </w:r>
      <w:bookmarkEnd w:id="46"/>
    </w:p>
    <w:p>
      <w:pPr>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（1）工具</w:t>
      </w:r>
    </w:p>
    <w:p>
      <w:pPr>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赛场提供基本常用工具，允许选手自带手动工具等，种类、数量不限。允许选手自带工具车或工具箱。</w:t>
      </w:r>
    </w:p>
    <w:p>
      <w:pPr>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（2）量具</w:t>
      </w:r>
    </w:p>
    <w:p>
      <w:pPr>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大赛不列出量具清单，选手可以根据公布的命题自带所需全部量具。种类、数量不限。</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jc w:val="left"/>
        <w:textAlignment w:val="auto"/>
        <w:rPr>
          <w:rFonts w:hint="eastAsia" w:ascii="仿宋" w:hAnsi="仿宋" w:eastAsia="仿宋" w:cs="仿宋"/>
          <w:b/>
          <w:bCs w:val="0"/>
          <w:color w:val="auto"/>
          <w:sz w:val="32"/>
          <w:lang w:eastAsia="zh-CN"/>
        </w:rPr>
      </w:pPr>
      <w:bookmarkStart w:id="47" w:name="_Toc175901980"/>
      <w:r>
        <w:rPr>
          <w:rFonts w:hint="eastAsia" w:ascii="仿宋" w:hAnsi="仿宋" w:eastAsia="仿宋" w:cs="仿宋"/>
          <w:b/>
          <w:bCs w:val="0"/>
          <w:color w:val="auto"/>
          <w:sz w:val="32"/>
          <w:lang w:eastAsia="zh-CN"/>
        </w:rPr>
        <w:t>五、竞赛安全要求</w:t>
      </w:r>
      <w:bookmarkEnd w:id="47"/>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jc w:val="left"/>
        <w:textAlignment w:val="auto"/>
        <w:rPr>
          <w:rFonts w:hint="eastAsia" w:ascii="仿宋" w:hAnsi="仿宋" w:eastAsia="仿宋" w:cs="仿宋"/>
          <w:b/>
          <w:bCs w:val="0"/>
          <w:color w:val="auto"/>
        </w:rPr>
      </w:pPr>
      <w:bookmarkStart w:id="48" w:name="_Toc175901981"/>
      <w:r>
        <w:rPr>
          <w:rFonts w:hint="eastAsia" w:ascii="仿宋" w:hAnsi="仿宋" w:eastAsia="仿宋" w:cs="仿宋"/>
          <w:b/>
          <w:bCs w:val="0"/>
          <w:color w:val="auto"/>
        </w:rPr>
        <w:t>（一）竞赛安全要求</w:t>
      </w:r>
      <w:bookmarkEnd w:id="48"/>
    </w:p>
    <w:p>
      <w:pPr>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参赛选手建议参照表7的穿戴防护装备。</w:t>
      </w:r>
    </w:p>
    <w:p>
      <w:pPr>
        <w:pStyle w:val="9"/>
        <w:pageBreakBefore w:val="0"/>
        <w:kinsoku/>
        <w:wordWrap/>
        <w:overflowPunct/>
        <w:topLinePunct w:val="0"/>
        <w:autoSpaceDE/>
        <w:autoSpaceDN/>
        <w:bidi w:val="0"/>
        <w:adjustRightInd/>
        <w:snapToGrid/>
        <w:spacing w:after="0" w:line="600" w:lineRule="exact"/>
        <w:ind w:left="0" w:leftChars="0" w:firstLine="0" w:firstLineChars="0"/>
        <w:jc w:val="center"/>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表7选手的防护装备</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109"/>
        <w:gridCol w:w="4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66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防护项目</w:t>
            </w:r>
          </w:p>
        </w:tc>
        <w:tc>
          <w:tcPr>
            <w:tcW w:w="210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图示</w:t>
            </w:r>
          </w:p>
        </w:tc>
        <w:tc>
          <w:tcPr>
            <w:tcW w:w="469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166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足部的防护</w:t>
            </w:r>
          </w:p>
        </w:tc>
        <w:tc>
          <w:tcPr>
            <w:tcW w:w="210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67456" behindDoc="0" locked="0" layoutInCell="1" allowOverlap="1">
                  <wp:simplePos x="0" y="0"/>
                  <wp:positionH relativeFrom="column">
                    <wp:posOffset>164465</wp:posOffset>
                  </wp:positionH>
                  <wp:positionV relativeFrom="paragraph">
                    <wp:posOffset>113030</wp:posOffset>
                  </wp:positionV>
                  <wp:extent cx="869950" cy="572770"/>
                  <wp:effectExtent l="0" t="0" r="6350" b="1778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869950" cy="572770"/>
                          </a:xfrm>
                          <a:prstGeom prst="rect">
                            <a:avLst/>
                          </a:prstGeom>
                          <a:noFill/>
                          <a:ln>
                            <a:noFill/>
                          </a:ln>
                        </pic:spPr>
                      </pic:pic>
                    </a:graphicData>
                  </a:graphic>
                </wp:anchor>
              </w:drawing>
            </w:r>
          </w:p>
        </w:tc>
        <w:tc>
          <w:tcPr>
            <w:tcW w:w="469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防滑、防砸、防穿刺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5" w:hRule="atLeast"/>
          <w:jc w:val="center"/>
        </w:trPr>
        <w:tc>
          <w:tcPr>
            <w:tcW w:w="1668"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工作服</w:t>
            </w:r>
          </w:p>
        </w:tc>
        <w:tc>
          <w:tcPr>
            <w:tcW w:w="210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66432" behindDoc="0" locked="0" layoutInCell="1" allowOverlap="1">
                  <wp:simplePos x="0" y="0"/>
                  <wp:positionH relativeFrom="column">
                    <wp:posOffset>152400</wp:posOffset>
                  </wp:positionH>
                  <wp:positionV relativeFrom="paragraph">
                    <wp:posOffset>538480</wp:posOffset>
                  </wp:positionV>
                  <wp:extent cx="936625" cy="1045210"/>
                  <wp:effectExtent l="0" t="0" r="15875" b="2540"/>
                  <wp:wrapNone/>
                  <wp:docPr id="11" name="图片 11" descr="工作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工作服"/>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936625" cy="1045210"/>
                          </a:xfrm>
                          <a:prstGeom prst="rect">
                            <a:avLst/>
                          </a:prstGeom>
                          <a:noFill/>
                          <a:ln>
                            <a:noFill/>
                          </a:ln>
                          <a:effectLst/>
                        </pic:spPr>
                      </pic:pic>
                    </a:graphicData>
                  </a:graphic>
                </wp:anchor>
              </w:drawing>
            </w:r>
          </w:p>
        </w:tc>
        <w:tc>
          <w:tcPr>
            <w:tcW w:w="4695"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1.必须是长裤</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2.防护服必须紧身不松垮，达到三紧要求</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3.女生必须带工作帽、长发不得外露</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4.操作机床时不允许戴手套</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大赛时，裁判员可对违反安全与健康条例、违反操作规程的选手和现象提出警告并进行纠正。不听警告，不进行纠正的参赛选手会受到罚分、停止加工、直至取消竞赛资格等不同程度的惩罚。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（2）有毒有害物品的管理和限制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选手禁止携带易燃易爆物品，见表8所示。</w:t>
      </w:r>
    </w:p>
    <w:p>
      <w:pPr>
        <w:pStyle w:val="9"/>
        <w:keepNext w:val="0"/>
        <w:keepLines w:val="0"/>
        <w:pageBreakBefore w:val="0"/>
        <w:widowControl w:val="0"/>
        <w:kinsoku/>
        <w:wordWrap/>
        <w:overflowPunct/>
        <w:topLinePunct w:val="0"/>
        <w:autoSpaceDE/>
        <w:autoSpaceDN/>
        <w:bidi w:val="0"/>
        <w:adjustRightInd/>
        <w:snapToGrid/>
        <w:spacing w:after="0" w:line="600" w:lineRule="exact"/>
        <w:ind w:left="0" w:leftChars="0"/>
        <w:jc w:val="center"/>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表8 选手禁带的物品</w:t>
      </w:r>
    </w:p>
    <w:tbl>
      <w:tblPr>
        <w:tblStyle w:val="20"/>
        <w:tblW w:w="8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7"/>
        <w:gridCol w:w="1472"/>
        <w:gridCol w:w="1473"/>
        <w:gridCol w:w="2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vAlign w:val="center"/>
          </w:tcPr>
          <w:p>
            <w:pPr>
              <w:pageBreakBefore w:val="0"/>
              <w:kinsoku/>
              <w:wordWrap/>
              <w:overflowPunct/>
              <w:topLinePunct w:val="0"/>
              <w:bidi w:val="0"/>
              <w:spacing w:line="600" w:lineRule="exact"/>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有害物品</w:t>
            </w:r>
          </w:p>
        </w:tc>
        <w:tc>
          <w:tcPr>
            <w:tcW w:w="2945" w:type="dxa"/>
            <w:gridSpan w:val="2"/>
            <w:vAlign w:val="center"/>
          </w:tcPr>
          <w:p>
            <w:pPr>
              <w:pageBreakBefore w:val="0"/>
              <w:kinsoku/>
              <w:wordWrap/>
              <w:overflowPunct/>
              <w:topLinePunct w:val="0"/>
              <w:bidi w:val="0"/>
              <w:spacing w:line="600" w:lineRule="exact"/>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图示</w:t>
            </w:r>
          </w:p>
        </w:tc>
        <w:tc>
          <w:tcPr>
            <w:tcW w:w="2945" w:type="dxa"/>
            <w:vAlign w:val="center"/>
          </w:tcPr>
          <w:p>
            <w:pPr>
              <w:pageBreakBefore w:val="0"/>
              <w:kinsoku/>
              <w:wordWrap/>
              <w:overflowPunct/>
              <w:topLinePunct w:val="0"/>
              <w:bidi w:val="0"/>
              <w:spacing w:line="600" w:lineRule="exact"/>
              <w:jc w:val="center"/>
              <w:textAlignment w:val="auto"/>
              <w:rPr>
                <w:rFonts w:hint="eastAsia" w:ascii="仿宋" w:hAnsi="仿宋" w:eastAsia="仿宋" w:cs="仿宋"/>
                <w:b/>
                <w:color w:val="auto"/>
                <w:sz w:val="28"/>
                <w:szCs w:val="28"/>
              </w:rPr>
            </w:pPr>
            <w:r>
              <w:rPr>
                <w:rFonts w:hint="eastAsia" w:ascii="仿宋" w:hAnsi="仿宋" w:eastAsia="仿宋" w:cs="仿宋"/>
                <w:b/>
                <w:color w:val="auto"/>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2387" w:type="dxa"/>
            <w:vAlign w:val="center"/>
          </w:tcPr>
          <w:p>
            <w:pPr>
              <w:pageBreakBefore w:val="0"/>
              <w:kinsoku/>
              <w:wordWrap/>
              <w:overflowPunct/>
              <w:topLinePunct w:val="0"/>
              <w:bidi w:val="0"/>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防锈清洗剂</w:t>
            </w:r>
          </w:p>
        </w:tc>
        <w:tc>
          <w:tcPr>
            <w:tcW w:w="2945" w:type="dxa"/>
            <w:gridSpan w:val="2"/>
            <w:vAlign w:val="center"/>
          </w:tcPr>
          <w:p>
            <w:pPr>
              <w:pageBreakBefore w:val="0"/>
              <w:kinsoku/>
              <w:wordWrap/>
              <w:overflowPunct/>
              <w:topLinePunct w:val="0"/>
              <w:bidi w:val="0"/>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59264" behindDoc="0" locked="0" layoutInCell="1" allowOverlap="1">
                  <wp:simplePos x="0" y="0"/>
                  <wp:positionH relativeFrom="column">
                    <wp:posOffset>553720</wp:posOffset>
                  </wp:positionH>
                  <wp:positionV relativeFrom="paragraph">
                    <wp:posOffset>85090</wp:posOffset>
                  </wp:positionV>
                  <wp:extent cx="596265" cy="596265"/>
                  <wp:effectExtent l="0" t="0" r="0" b="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96265" cy="596265"/>
                          </a:xfrm>
                          <a:prstGeom prst="rect">
                            <a:avLst/>
                          </a:prstGeom>
                          <a:noFill/>
                          <a:ln>
                            <a:noFill/>
                          </a:ln>
                        </pic:spPr>
                      </pic:pic>
                    </a:graphicData>
                  </a:graphic>
                </wp:anchor>
              </w:drawing>
            </w:r>
          </w:p>
        </w:tc>
        <w:tc>
          <w:tcPr>
            <w:tcW w:w="2945" w:type="dxa"/>
            <w:vAlign w:val="center"/>
          </w:tcPr>
          <w:p>
            <w:pPr>
              <w:pageBreakBefore w:val="0"/>
              <w:kinsoku/>
              <w:wordWrap/>
              <w:overflowPunct/>
              <w:topLinePunct w:val="0"/>
              <w:bidi w:val="0"/>
              <w:spacing w:line="600" w:lineRule="exact"/>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65408" behindDoc="0" locked="0" layoutInCell="1" allowOverlap="1">
                  <wp:simplePos x="0" y="0"/>
                  <wp:positionH relativeFrom="column">
                    <wp:posOffset>1030605</wp:posOffset>
                  </wp:positionH>
                  <wp:positionV relativeFrom="paragraph">
                    <wp:posOffset>45720</wp:posOffset>
                  </wp:positionV>
                  <wp:extent cx="371475" cy="350520"/>
                  <wp:effectExtent l="0" t="0" r="9525"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71475" cy="350520"/>
                          </a:xfrm>
                          <a:prstGeom prst="rect">
                            <a:avLst/>
                          </a:prstGeom>
                          <a:noFill/>
                          <a:ln>
                            <a:noFill/>
                          </a:ln>
                        </pic:spPr>
                      </pic:pic>
                    </a:graphicData>
                  </a:graphic>
                </wp:anchor>
              </w:drawing>
            </w:r>
            <w:r>
              <w:rPr>
                <w:rFonts w:hint="eastAsia" w:ascii="仿宋" w:hAnsi="仿宋" w:eastAsia="仿宋" w:cs="仿宋"/>
                <w:color w:val="auto"/>
                <w:sz w:val="28"/>
                <w:szCs w:val="28"/>
              </w:rPr>
              <w:t>禁止携带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2387" w:type="dxa"/>
            <w:vAlign w:val="center"/>
          </w:tcPr>
          <w:p>
            <w:pPr>
              <w:pageBreakBefore w:val="0"/>
              <w:kinsoku/>
              <w:wordWrap/>
              <w:overflowPunct/>
              <w:topLinePunct w:val="0"/>
              <w:bidi w:val="0"/>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酒精、汽油</w:t>
            </w:r>
          </w:p>
        </w:tc>
        <w:tc>
          <w:tcPr>
            <w:tcW w:w="1472" w:type="dxa"/>
            <w:vAlign w:val="center"/>
          </w:tcPr>
          <w:p>
            <w:pPr>
              <w:pageBreakBefore w:val="0"/>
              <w:kinsoku/>
              <w:wordWrap/>
              <w:overflowPunct/>
              <w:topLinePunct w:val="0"/>
              <w:bidi w:val="0"/>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62336" behindDoc="0" locked="0" layoutInCell="1" allowOverlap="1">
                  <wp:simplePos x="0" y="0"/>
                  <wp:positionH relativeFrom="column">
                    <wp:posOffset>227330</wp:posOffset>
                  </wp:positionH>
                  <wp:positionV relativeFrom="paragraph">
                    <wp:posOffset>78105</wp:posOffset>
                  </wp:positionV>
                  <wp:extent cx="459740" cy="45974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59740" cy="459740"/>
                          </a:xfrm>
                          <a:prstGeom prst="rect">
                            <a:avLst/>
                          </a:prstGeom>
                          <a:noFill/>
                          <a:ln>
                            <a:noFill/>
                          </a:ln>
                        </pic:spPr>
                      </pic:pic>
                    </a:graphicData>
                  </a:graphic>
                </wp:anchor>
              </w:drawing>
            </w:r>
          </w:p>
        </w:tc>
        <w:tc>
          <w:tcPr>
            <w:tcW w:w="1473" w:type="dxa"/>
            <w:vAlign w:val="center"/>
          </w:tcPr>
          <w:p>
            <w:pPr>
              <w:pageBreakBefore w:val="0"/>
              <w:kinsoku/>
              <w:wordWrap/>
              <w:overflowPunct/>
              <w:topLinePunct w:val="0"/>
              <w:bidi w:val="0"/>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63360" behindDoc="0" locked="0" layoutInCell="1" allowOverlap="1">
                  <wp:simplePos x="0" y="0"/>
                  <wp:positionH relativeFrom="column">
                    <wp:posOffset>148590</wp:posOffset>
                  </wp:positionH>
                  <wp:positionV relativeFrom="paragraph">
                    <wp:posOffset>83820</wp:posOffset>
                  </wp:positionV>
                  <wp:extent cx="499745" cy="446405"/>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99745" cy="446405"/>
                          </a:xfrm>
                          <a:prstGeom prst="rect">
                            <a:avLst/>
                          </a:prstGeom>
                          <a:noFill/>
                          <a:ln>
                            <a:noFill/>
                          </a:ln>
                        </pic:spPr>
                      </pic:pic>
                    </a:graphicData>
                  </a:graphic>
                </wp:anchor>
              </w:drawing>
            </w:r>
          </w:p>
        </w:tc>
        <w:tc>
          <w:tcPr>
            <w:tcW w:w="2945" w:type="dxa"/>
            <w:vAlign w:val="center"/>
          </w:tcPr>
          <w:p>
            <w:pPr>
              <w:pageBreakBefore w:val="0"/>
              <w:kinsoku/>
              <w:wordWrap/>
              <w:overflowPunct/>
              <w:topLinePunct w:val="0"/>
              <w:bidi w:val="0"/>
              <w:spacing w:line="600" w:lineRule="exact"/>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64384" behindDoc="0" locked="0" layoutInCell="1" allowOverlap="1">
                  <wp:simplePos x="0" y="0"/>
                  <wp:positionH relativeFrom="column">
                    <wp:posOffset>1036955</wp:posOffset>
                  </wp:positionH>
                  <wp:positionV relativeFrom="paragraph">
                    <wp:posOffset>52705</wp:posOffset>
                  </wp:positionV>
                  <wp:extent cx="371475" cy="350520"/>
                  <wp:effectExtent l="0" t="0" r="9525"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71475" cy="350520"/>
                          </a:xfrm>
                          <a:prstGeom prst="rect">
                            <a:avLst/>
                          </a:prstGeom>
                          <a:noFill/>
                          <a:ln>
                            <a:noFill/>
                          </a:ln>
                        </pic:spPr>
                      </pic:pic>
                    </a:graphicData>
                  </a:graphic>
                </wp:anchor>
              </w:drawing>
            </w:r>
            <w:r>
              <w:rPr>
                <w:rFonts w:hint="eastAsia" w:ascii="仿宋" w:hAnsi="仿宋" w:eastAsia="仿宋" w:cs="仿宋"/>
                <w:color w:val="auto"/>
                <w:sz w:val="28"/>
                <w:szCs w:val="28"/>
              </w:rPr>
              <w:t>严禁携带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387" w:type="dxa"/>
            <w:vAlign w:val="center"/>
          </w:tcPr>
          <w:p>
            <w:pPr>
              <w:pageBreakBefore w:val="0"/>
              <w:kinsoku/>
              <w:wordWrap/>
              <w:overflowPunct/>
              <w:topLinePunct w:val="0"/>
              <w:bidi w:val="0"/>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有毒有害物</w:t>
            </w:r>
          </w:p>
        </w:tc>
        <w:tc>
          <w:tcPr>
            <w:tcW w:w="2945" w:type="dxa"/>
            <w:gridSpan w:val="2"/>
            <w:vAlign w:val="center"/>
          </w:tcPr>
          <w:p>
            <w:pPr>
              <w:pageBreakBefore w:val="0"/>
              <w:kinsoku/>
              <w:wordWrap/>
              <w:overflowPunct/>
              <w:topLinePunct w:val="0"/>
              <w:bidi w:val="0"/>
              <w:spacing w:line="60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60288" behindDoc="0" locked="0" layoutInCell="1" allowOverlap="1">
                  <wp:simplePos x="0" y="0"/>
                  <wp:positionH relativeFrom="column">
                    <wp:posOffset>454025</wp:posOffset>
                  </wp:positionH>
                  <wp:positionV relativeFrom="paragraph">
                    <wp:posOffset>76835</wp:posOffset>
                  </wp:positionV>
                  <wp:extent cx="775970" cy="397510"/>
                  <wp:effectExtent l="0" t="0" r="5080" b="254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4" cstate="print">
                            <a:extLst>
                              <a:ext uri="{28A0092B-C50C-407E-A947-70E740481C1C}">
                                <a14:useLocalDpi xmlns:a14="http://schemas.microsoft.com/office/drawing/2010/main" val="0"/>
                              </a:ext>
                            </a:extLst>
                          </a:blip>
                          <a:srcRect b="14420"/>
                          <a:stretch>
                            <a:fillRect/>
                          </a:stretch>
                        </pic:blipFill>
                        <pic:spPr>
                          <a:xfrm>
                            <a:off x="0" y="0"/>
                            <a:ext cx="775970" cy="397510"/>
                          </a:xfrm>
                          <a:prstGeom prst="rect">
                            <a:avLst/>
                          </a:prstGeom>
                          <a:noFill/>
                          <a:ln>
                            <a:noFill/>
                          </a:ln>
                        </pic:spPr>
                      </pic:pic>
                    </a:graphicData>
                  </a:graphic>
                </wp:anchor>
              </w:drawing>
            </w:r>
          </w:p>
        </w:tc>
        <w:tc>
          <w:tcPr>
            <w:tcW w:w="2945" w:type="dxa"/>
            <w:vAlign w:val="center"/>
          </w:tcPr>
          <w:p>
            <w:pPr>
              <w:pageBreakBefore w:val="0"/>
              <w:kinsoku/>
              <w:wordWrap/>
              <w:overflowPunct/>
              <w:topLinePunct w:val="0"/>
              <w:bidi w:val="0"/>
              <w:spacing w:line="600" w:lineRule="exact"/>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drawing>
                <wp:anchor distT="0" distB="0" distL="114300" distR="114300" simplePos="0" relativeHeight="251661312" behindDoc="0" locked="0" layoutInCell="1" allowOverlap="1">
                  <wp:simplePos x="0" y="0"/>
                  <wp:positionH relativeFrom="column">
                    <wp:posOffset>1047750</wp:posOffset>
                  </wp:positionH>
                  <wp:positionV relativeFrom="paragraph">
                    <wp:posOffset>31750</wp:posOffset>
                  </wp:positionV>
                  <wp:extent cx="372110" cy="351155"/>
                  <wp:effectExtent l="0" t="0" r="889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72110" cy="351155"/>
                          </a:xfrm>
                          <a:prstGeom prst="rect">
                            <a:avLst/>
                          </a:prstGeom>
                          <a:noFill/>
                          <a:ln>
                            <a:noFill/>
                          </a:ln>
                        </pic:spPr>
                      </pic:pic>
                    </a:graphicData>
                  </a:graphic>
                </wp:anchor>
              </w:drawing>
            </w:r>
            <w:r>
              <w:rPr>
                <w:rFonts w:hint="eastAsia" w:ascii="仿宋" w:hAnsi="仿宋" w:eastAsia="仿宋" w:cs="仿宋"/>
                <w:color w:val="auto"/>
                <w:sz w:val="28"/>
                <w:szCs w:val="28"/>
              </w:rPr>
              <w:t>严禁携带</w:t>
            </w:r>
          </w:p>
        </w:tc>
      </w:tr>
    </w:tbl>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期间产生的废料和切屑必须分类收集和回收。</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（3）医疗设备和措施</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赛场必须配备医护人员和必须的药品。</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49" w:name="_Toc175901982"/>
      <w:r>
        <w:rPr>
          <w:rFonts w:hint="eastAsia" w:ascii="仿宋" w:hAnsi="仿宋" w:eastAsia="仿宋" w:cs="仿宋"/>
          <w:b/>
          <w:bCs w:val="0"/>
          <w:color w:val="auto"/>
        </w:rPr>
        <w:t>（二）竞赛健康要求</w:t>
      </w:r>
      <w:bookmarkEnd w:id="49"/>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1.自我评估：参赛者需自行评估自身健康状况，确保在参赛期间无不适宜参与竞赛的疾病或身体条件。</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2.告知义务：如参赛者有任何可能影响竞赛参与的健康问题或特殊需求，应在报名时或赛前向组委会如实告知。竞赛过程中发现参赛者有发烧症状，应立即向竞赛现场的医疗保障团队或组委会报告。</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3.处理安排：根据发烧参赛者的健康状况和医生建议，组委会将灵活调整其竞赛安排。如病情严重，可能需要暂停或取消其参赛资格。</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4.责任归属：参赛者在竞赛期间因自身健康原因导致的任何后果，由参赛者自行承担。组委会将尽力提供必要的协助和支持，但不承担任何法律责任。</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sz w:val="32"/>
          <w:lang w:eastAsia="zh-CN"/>
        </w:rPr>
      </w:pPr>
      <w:bookmarkStart w:id="50" w:name="_Toc175901983"/>
      <w:r>
        <w:rPr>
          <w:rFonts w:hint="eastAsia" w:ascii="仿宋" w:hAnsi="仿宋" w:eastAsia="仿宋" w:cs="仿宋"/>
          <w:b/>
          <w:bCs w:val="0"/>
          <w:color w:val="auto"/>
          <w:sz w:val="32"/>
          <w:lang w:eastAsia="zh-CN"/>
        </w:rPr>
        <w:t>六、竞赛须知</w:t>
      </w:r>
      <w:bookmarkEnd w:id="50"/>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51" w:name="_Toc175901984"/>
      <w:bookmarkStart w:id="52" w:name="_Toc76885652"/>
      <w:r>
        <w:rPr>
          <w:rFonts w:hint="eastAsia" w:ascii="仿宋" w:hAnsi="仿宋" w:eastAsia="仿宋" w:cs="仿宋"/>
          <w:b/>
          <w:bCs w:val="0"/>
          <w:color w:val="auto"/>
        </w:rPr>
        <w:t>（一）参赛队须知</w:t>
      </w:r>
      <w:bookmarkEnd w:id="51"/>
      <w:bookmarkEnd w:id="52"/>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1．参赛队名称使用学校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企业</w:t>
      </w:r>
      <w:r>
        <w:rPr>
          <w:rFonts w:hint="eastAsia" w:ascii="仿宋" w:hAnsi="仿宋" w:eastAsia="仿宋" w:cs="仿宋"/>
          <w:color w:val="auto"/>
          <w:sz w:val="32"/>
          <w:szCs w:val="32"/>
          <w:highlight w:val="none"/>
        </w:rPr>
        <w:t>或其他组织名称。</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2．参赛队员在报名获得审核确认后，原则上不再更换，如筹备过程中，队员因故不能参赛，须于赛项开赛10个工作日之前出具书面说明并按相关规定补充人员并接受审核；竞赛开始后，参赛队不得更换参赛队员。</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3．参赛队按照大赛赛程安排，凭大赛组委会颁发的参赛证，以及学生证、身份证等参加比赛及相关活动。</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4．各参赛队按竞赛组委会统一安排，赛前参加熟悉场地环境的活动。</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5．各参赛队按组委会统一要求，准时参加赛前领队会，领队会上举行抽签仪式。</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6．各参赛队要注意饮食卫生，防止食物中毒。</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7．各参赛队在比赛期间，应保证所有人员的安全，防止交通事故和其它意外事故的发生，为领队和参赛选手购买人身意外保险。</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8．各参赛队要发扬良好道德风尚，听从指挥，服从裁判，不弄虚作假。</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53" w:name="_Toc175901985"/>
      <w:bookmarkStart w:id="54" w:name="_Toc76885653"/>
      <w:r>
        <w:rPr>
          <w:rFonts w:hint="eastAsia" w:ascii="仿宋" w:hAnsi="仿宋" w:eastAsia="仿宋" w:cs="仿宋"/>
          <w:b/>
          <w:bCs w:val="0"/>
          <w:color w:val="auto"/>
        </w:rPr>
        <w:t>（二）</w:t>
      </w:r>
      <w:r>
        <w:rPr>
          <w:rFonts w:hint="eastAsia" w:ascii="仿宋" w:hAnsi="仿宋" w:eastAsia="仿宋" w:cs="仿宋"/>
          <w:b/>
          <w:bCs w:val="0"/>
          <w:color w:val="auto"/>
          <w:lang w:val="en-US" w:eastAsia="zh-CN"/>
        </w:rPr>
        <w:t>领队</w:t>
      </w:r>
      <w:r>
        <w:rPr>
          <w:rFonts w:hint="eastAsia" w:ascii="仿宋" w:hAnsi="仿宋" w:eastAsia="仿宋" w:cs="仿宋"/>
          <w:b/>
          <w:bCs w:val="0"/>
          <w:color w:val="auto"/>
        </w:rPr>
        <w:t>须知</w:t>
      </w:r>
      <w:bookmarkEnd w:id="53"/>
      <w:bookmarkEnd w:id="54"/>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1．每组选手只能配备一名</w:t>
      </w:r>
      <w:r>
        <w:rPr>
          <w:rFonts w:hint="eastAsia" w:ascii="仿宋" w:hAnsi="仿宋" w:eastAsia="仿宋" w:cs="仿宋"/>
          <w:color w:val="auto"/>
          <w:sz w:val="32"/>
          <w:szCs w:val="32"/>
          <w:lang w:val="en-US" w:eastAsia="zh-CN"/>
        </w:rPr>
        <w:t>领队</w:t>
      </w:r>
      <w:r>
        <w:rPr>
          <w:rFonts w:hint="eastAsia" w:ascii="仿宋" w:hAnsi="仿宋" w:eastAsia="仿宋" w:cs="仿宋"/>
          <w:color w:val="auto"/>
          <w:sz w:val="32"/>
          <w:szCs w:val="32"/>
        </w:rPr>
        <w:t>，一名</w:t>
      </w:r>
      <w:r>
        <w:rPr>
          <w:rFonts w:hint="eastAsia" w:ascii="仿宋" w:hAnsi="仿宋" w:eastAsia="仿宋" w:cs="仿宋"/>
          <w:color w:val="auto"/>
          <w:sz w:val="32"/>
          <w:szCs w:val="32"/>
          <w:lang w:val="en-US" w:eastAsia="zh-CN"/>
        </w:rPr>
        <w:t>领队</w:t>
      </w:r>
      <w:r>
        <w:rPr>
          <w:rFonts w:hint="eastAsia" w:ascii="仿宋" w:hAnsi="仿宋" w:eastAsia="仿宋" w:cs="仿宋"/>
          <w:color w:val="auto"/>
          <w:sz w:val="32"/>
          <w:szCs w:val="32"/>
        </w:rPr>
        <w:t>可指导多组选手。</w:t>
      </w:r>
      <w:r>
        <w:rPr>
          <w:rFonts w:hint="eastAsia" w:ascii="仿宋" w:hAnsi="仿宋" w:eastAsia="仿宋" w:cs="仿宋"/>
          <w:color w:val="auto"/>
          <w:sz w:val="32"/>
          <w:szCs w:val="32"/>
          <w:lang w:val="en-US" w:eastAsia="zh-CN"/>
        </w:rPr>
        <w:t>领队</w:t>
      </w:r>
      <w:r>
        <w:rPr>
          <w:rFonts w:hint="eastAsia" w:ascii="仿宋" w:hAnsi="仿宋" w:eastAsia="仿宋" w:cs="仿宋"/>
          <w:color w:val="auto"/>
          <w:sz w:val="32"/>
          <w:szCs w:val="32"/>
        </w:rPr>
        <w:t>经报名、审核后确定，一经确定不得更换，如需更换，须于赛项开赛10个工作日之前出具书面说明并按相关规定补充人员并接受审核；竞赛开始后，参赛队不得更换</w:t>
      </w:r>
      <w:r>
        <w:rPr>
          <w:rFonts w:hint="eastAsia" w:ascii="仿宋" w:hAnsi="仿宋" w:eastAsia="仿宋" w:cs="仿宋"/>
          <w:color w:val="auto"/>
          <w:sz w:val="32"/>
          <w:szCs w:val="32"/>
          <w:lang w:val="en-US" w:eastAsia="zh-CN"/>
        </w:rPr>
        <w:t>领队</w:t>
      </w:r>
      <w:r>
        <w:rPr>
          <w:rFonts w:hint="eastAsia" w:ascii="仿宋" w:hAnsi="仿宋" w:eastAsia="仿宋" w:cs="仿宋"/>
          <w:color w:val="auto"/>
          <w:sz w:val="32"/>
          <w:szCs w:val="32"/>
        </w:rPr>
        <w:t>。2．对申诉的仲裁结果，领队和</w:t>
      </w:r>
      <w:r>
        <w:rPr>
          <w:rFonts w:hint="eastAsia" w:ascii="仿宋" w:hAnsi="仿宋" w:eastAsia="仿宋" w:cs="仿宋"/>
          <w:color w:val="auto"/>
          <w:sz w:val="32"/>
          <w:szCs w:val="32"/>
          <w:lang w:val="en-US" w:eastAsia="zh-CN"/>
        </w:rPr>
        <w:t>领队助理</w:t>
      </w:r>
      <w:r>
        <w:rPr>
          <w:rFonts w:hint="eastAsia" w:ascii="仿宋" w:hAnsi="仿宋" w:eastAsia="仿宋" w:cs="仿宋"/>
          <w:color w:val="auto"/>
          <w:sz w:val="32"/>
          <w:szCs w:val="32"/>
        </w:rPr>
        <w:t>应带头服从和执行，还应说服选手服从和执行。凡恶意申诉，一经查实，大赛组委会将追查相关人员责任。</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领队</w:t>
      </w:r>
      <w:r>
        <w:rPr>
          <w:rFonts w:hint="eastAsia" w:ascii="仿宋" w:hAnsi="仿宋" w:eastAsia="仿宋" w:cs="仿宋"/>
          <w:color w:val="auto"/>
          <w:sz w:val="32"/>
          <w:szCs w:val="32"/>
        </w:rPr>
        <w:t>应认真研究和掌握本赛项比赛的技术规则和赛场要求，指导选手做好赛前的一切准备工作。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4．领队和</w:t>
      </w:r>
      <w:r>
        <w:rPr>
          <w:rFonts w:hint="eastAsia" w:ascii="仿宋" w:hAnsi="仿宋" w:eastAsia="仿宋" w:cs="仿宋"/>
          <w:color w:val="auto"/>
          <w:sz w:val="32"/>
          <w:szCs w:val="32"/>
          <w:lang w:val="en-US" w:eastAsia="zh-CN"/>
        </w:rPr>
        <w:t>领队助理</w:t>
      </w:r>
      <w:r>
        <w:rPr>
          <w:rFonts w:hint="eastAsia" w:ascii="仿宋" w:hAnsi="仿宋" w:eastAsia="仿宋" w:cs="仿宋"/>
          <w:color w:val="auto"/>
          <w:sz w:val="32"/>
          <w:szCs w:val="32"/>
        </w:rPr>
        <w:t>应在赛后做好技术总结和工作总结。</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55" w:name="_Toc76885654"/>
      <w:bookmarkStart w:id="56" w:name="_Toc175901986"/>
      <w:r>
        <w:rPr>
          <w:rFonts w:hint="eastAsia" w:ascii="仿宋" w:hAnsi="仿宋" w:eastAsia="仿宋" w:cs="仿宋"/>
          <w:b/>
          <w:bCs w:val="0"/>
          <w:color w:val="auto"/>
        </w:rPr>
        <w:t>（三）参赛选手须知</w:t>
      </w:r>
      <w:bookmarkEnd w:id="55"/>
      <w:bookmarkEnd w:id="56"/>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1．参赛选手应严格遵守竞赛规则和竞赛纪律，服从裁判员和竞赛工作人员的统一指挥安排，自觉维护赛场秩序，不得因申诉或对处理意见不服而停止比赛，否则以弃权处理。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2．参赛选手在赛前熟悉设备和竞赛时间内，应该严格遵守赛场安全操作规程，杜绝出现安全事故。</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3．参赛选手不得将通讯工具、任何技术资料、工具书、自编电子或文字资料、笔记本电脑、通讯工具、摄像工具以及其他即插即用的硬件设备带入比赛现场，否则取消选手比赛资格。</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4．参赛选手应严格按竞赛流程进行比赛。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5．参赛选手必须持身份证、并佩戴组委会签发的参赛证件，按比赛规定的时间，到指定的场地参赛。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6．参赛选手须在赛前60分钟到达赛场进行检录、抽取赛位号，在赛前30分钟统一入场，进行赛前准备，等候比赛开始指令。迟到15分钟者，不得参加比赛。已检录入场的参赛选手未经允许，不得擅自离开。</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7．参赛选手按规定进入比赛赛位，在现场工作人员引导下，进行赛前准备，检查计算机、软件、快速成型设备和配套的工具等，并签字确认。</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8．裁判长宣布比赛开始，参赛选手方可进行设备操作。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9．参赛选手必须将全部数据文件存储至计算机指定盘符下，不按要求存储数据，导致数据丢失者，责任自负。</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10．比赛过程中，选手若需休息、饮水或去洗手间，一律计算在比赛时间内。食品和饮水由赛场统一提供。</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11．比赛过程中，参赛选手须严格遵守相关操作规程，确保人身及设备安全，并接受裁判员的监督，若因选手个人因素造成人身安全事故和设备故障，不予延时，情节特别严重者，由大赛裁判组视具体情况作出处理决定（最高至终止比赛）并由裁判长上报竞赛监督仲裁组；若因非选手个人因素造成设备故障，由大赛裁判组视具体情况作出延时处理并由裁判长上报竞赛监督仲裁组。</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12．参赛选手在比赛过程中，如遇问题，需举手向裁判员提问。选手之间不得发生任何交流，否则，按作弊处理。</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13．每名选手的每张图纸共有两次打印机会，选手选择其中一张图纸上交，上交的图纸须有选手签名，收件裁判员要在登记簿上签字确认。</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14．比赛结束，选手应立即清理现场（包括快速成型设备和工作台及周边卫生等），经裁判员和现场工作人员确认后方可离开赛场。</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15．参赛选手在竞赛期间未经组委会的批准，不得接受其他单位和个人进行的与竞赛内容相关的采访；参赛选手不得私自公开比赛相关资料。</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57" w:name="_Toc175901987"/>
      <w:bookmarkStart w:id="58" w:name="_Toc76885655"/>
      <w:r>
        <w:rPr>
          <w:rFonts w:hint="eastAsia" w:ascii="仿宋" w:hAnsi="仿宋" w:eastAsia="仿宋" w:cs="仿宋"/>
          <w:b/>
          <w:bCs w:val="0"/>
          <w:color w:val="auto"/>
        </w:rPr>
        <w:t>（四）工作人员须知</w:t>
      </w:r>
      <w:bookmarkEnd w:id="57"/>
      <w:bookmarkEnd w:id="58"/>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1．工作人员必须服从大赛组委会统一指挥，佩戴工作人员标识，认真履行职责，做好竞赛服务工作。</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2．工作人员按照分工准时上岗，不得擅自离岗，应认真履行各自的工作职责，保证竞赛工作的顺利进行。</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3．工作人员应在规定的区域内工作，未经许可，不得擅自进入竞赛场地。如需进场，需经过裁判长同意，核准证件，有裁判跟随入场。</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4．如遇突发事件，须及时向裁判员报告，同时做好疏导工作，避免重大事故发生。</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竞赛期间，工作人员不得干涉及个人工作职责之外的事宜，不得利用工作之便，弄虚作假、徇私舞弊。如有上述现象或因工作不负责任的情况，造成竞赛程序无法继续进行，由赛项组委会视情节轻重，给予通报批评或停止工作，并通知其所在单位做出相应处理。</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59" w:name="_Toc76885656"/>
      <w:bookmarkStart w:id="60" w:name="_Toc175901988"/>
      <w:r>
        <w:rPr>
          <w:rFonts w:hint="eastAsia" w:ascii="仿宋" w:hAnsi="仿宋" w:eastAsia="仿宋" w:cs="仿宋"/>
          <w:b/>
          <w:bCs w:val="0"/>
          <w:color w:val="auto"/>
        </w:rPr>
        <w:t>（五）裁判员须知</w:t>
      </w:r>
      <w:bookmarkEnd w:id="59"/>
      <w:bookmarkEnd w:id="60"/>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1．裁判员执裁期间，佩戴裁判员标识，举止文明礼貌，接受参赛人员的监督。</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2．严守竞赛纪律，执行竞赛规则，服从赛项组委会和裁判长的领导。按照分工开展工作，始终坚守工作岗位，不得擅自离岗。</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3．裁判员在工作期间严禁使用各种器材进行摄像或照相。</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4．严格执行赛场纪律，不得向参赛选手暗示或解答与竞赛有关的内容。及时制止选手的违纪行为。对裁判工作中有争议的技术问题、突发事件要及时处理、妥善解决，并及时向裁判长汇报。</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5．要提醒选手注意操作安全，对于选手的违规操作或有可能引发人生伤害、设备损坏等事故的行为，应立即制止并向现场负责人报告。</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6．严格遵守保密纪律。裁判员不得私自与参赛选手或代表队联系，不得透露竞赛的有关情况。</w:t>
      </w:r>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7．竞赛期间，因裁判人员工作不负责任，造成竞赛程序无法继续进行或评判结果不真实的情况，由赛项组委会视情节轻重，给予通报批评或停止裁判资格，并通知其所在单位做出相应处理。</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sz w:val="32"/>
          <w:lang w:eastAsia="zh-CN"/>
        </w:rPr>
      </w:pPr>
      <w:bookmarkStart w:id="61" w:name="_Toc175901989"/>
      <w:r>
        <w:rPr>
          <w:rFonts w:hint="eastAsia" w:ascii="仿宋" w:hAnsi="仿宋" w:eastAsia="仿宋" w:cs="仿宋"/>
          <w:b/>
          <w:bCs w:val="0"/>
          <w:color w:val="auto"/>
          <w:sz w:val="32"/>
          <w:lang w:eastAsia="zh-CN"/>
        </w:rPr>
        <w:t>七、申诉与仲裁</w:t>
      </w:r>
      <w:bookmarkEnd w:id="61"/>
    </w:p>
    <w:p>
      <w:pPr>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赛项在比赛过程中若出现有失公正或有关人员违规等现象，代表队领队可在比赛结束后2小时之内向监督仲裁组提出书面申诉。大赛组委会选派人员参加监督仲裁工作，监督仲裁工作组在接到申诉后的2小时内组织复议，并及时反馈仲裁结果，仲裁结果为最终结果。超过2小时进行申诉的不予受理。</w:t>
      </w:r>
    </w:p>
    <w:p>
      <w:pPr>
        <w:pStyle w:val="2"/>
        <w:pageBreakBefore w:val="0"/>
        <w:numPr>
          <w:ilvl w:val="0"/>
          <w:numId w:val="0"/>
        </w:numPr>
        <w:tabs>
          <w:tab w:val="left" w:pos="431"/>
          <w:tab w:val="clear" w:pos="360"/>
        </w:tabs>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sz w:val="32"/>
          <w:lang w:eastAsia="zh-CN"/>
        </w:rPr>
      </w:pPr>
      <w:bookmarkStart w:id="62" w:name="_Toc175901990"/>
      <w:r>
        <w:rPr>
          <w:rFonts w:hint="eastAsia" w:ascii="仿宋" w:hAnsi="仿宋" w:eastAsia="仿宋" w:cs="仿宋"/>
          <w:b/>
          <w:bCs w:val="0"/>
          <w:color w:val="auto"/>
          <w:sz w:val="32"/>
          <w:lang w:eastAsia="zh-CN"/>
        </w:rPr>
        <w:t>八、其他</w:t>
      </w:r>
      <w:bookmarkEnd w:id="62"/>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val="0"/>
          <w:bCs/>
          <w:color w:val="auto"/>
        </w:rPr>
      </w:pPr>
      <w:bookmarkStart w:id="63" w:name="_Toc175901991"/>
      <w:bookmarkStart w:id="64" w:name="_Toc76885659"/>
      <w:r>
        <w:rPr>
          <w:rFonts w:hint="eastAsia" w:ascii="仿宋" w:hAnsi="仿宋" w:eastAsia="仿宋" w:cs="仿宋"/>
          <w:b/>
          <w:bCs w:val="0"/>
          <w:color w:val="auto"/>
        </w:rPr>
        <w:t>（一）环境保护</w:t>
      </w:r>
      <w:bookmarkEnd w:id="63"/>
      <w:bookmarkEnd w:id="64"/>
    </w:p>
    <w:p>
      <w:pPr>
        <w:pStyle w:val="17"/>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color w:val="auto"/>
          <w:spacing w:val="0"/>
          <w:kern w:val="2"/>
          <w:sz w:val="32"/>
          <w:szCs w:val="32"/>
          <w:lang w:val="en-US" w:eastAsia="zh-CN"/>
        </w:rPr>
      </w:pPr>
      <w:r>
        <w:rPr>
          <w:rFonts w:hint="eastAsia" w:ascii="仿宋" w:hAnsi="仿宋" w:eastAsia="仿宋" w:cs="仿宋"/>
          <w:b w:val="0"/>
          <w:color w:val="auto"/>
          <w:spacing w:val="0"/>
          <w:kern w:val="2"/>
          <w:sz w:val="32"/>
          <w:szCs w:val="32"/>
          <w:lang w:val="en-US" w:eastAsia="zh-CN"/>
        </w:rPr>
        <w:t>大赛应注重环境保护，绝不允许破坏环境。</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65" w:name="_Toc76885660"/>
      <w:bookmarkStart w:id="66" w:name="_Toc175901992"/>
      <w:r>
        <w:rPr>
          <w:rFonts w:hint="eastAsia" w:ascii="仿宋" w:hAnsi="仿宋" w:eastAsia="仿宋" w:cs="仿宋"/>
          <w:b/>
          <w:bCs w:val="0"/>
          <w:color w:val="auto"/>
        </w:rPr>
        <w:t>（二）循环利用</w:t>
      </w:r>
      <w:bookmarkEnd w:id="65"/>
      <w:bookmarkEnd w:id="66"/>
    </w:p>
    <w:p>
      <w:pPr>
        <w:pStyle w:val="17"/>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auto"/>
          <w:spacing w:val="0"/>
          <w:kern w:val="2"/>
          <w:sz w:val="32"/>
          <w:szCs w:val="32"/>
          <w:lang w:val="en-US" w:eastAsia="zh-CN"/>
        </w:rPr>
      </w:pPr>
      <w:r>
        <w:rPr>
          <w:rFonts w:hint="eastAsia" w:ascii="仿宋" w:hAnsi="仿宋" w:eastAsia="仿宋" w:cs="仿宋"/>
          <w:b w:val="0"/>
          <w:bCs/>
          <w:color w:val="auto"/>
          <w:spacing w:val="0"/>
          <w:kern w:val="2"/>
          <w:sz w:val="32"/>
          <w:szCs w:val="32"/>
          <w:lang w:val="en-US" w:eastAsia="zh-CN"/>
        </w:rPr>
        <w:t>大赛期间产生的废料和切屑必须分类收集和回收。</w:t>
      </w:r>
    </w:p>
    <w:p>
      <w:pPr>
        <w:pStyle w:val="3"/>
        <w:pageBreakBefore w:val="0"/>
        <w:numPr>
          <w:ilvl w:val="0"/>
          <w:numId w:val="0"/>
        </w:numPr>
        <w:kinsoku/>
        <w:wordWrap/>
        <w:overflowPunct/>
        <w:topLinePunct w:val="0"/>
        <w:autoSpaceDE/>
        <w:autoSpaceDN/>
        <w:bidi w:val="0"/>
        <w:adjustRightInd/>
        <w:snapToGrid/>
        <w:spacing w:before="0" w:after="0" w:line="600" w:lineRule="exact"/>
        <w:ind w:left="0" w:leftChars="0" w:firstLine="640" w:firstLineChars="200"/>
        <w:textAlignment w:val="auto"/>
        <w:rPr>
          <w:rFonts w:hint="eastAsia" w:ascii="仿宋" w:hAnsi="仿宋" w:eastAsia="仿宋" w:cs="仿宋"/>
          <w:b/>
          <w:bCs w:val="0"/>
          <w:color w:val="auto"/>
        </w:rPr>
      </w:pPr>
      <w:bookmarkStart w:id="67" w:name="_Toc175901993"/>
      <w:bookmarkStart w:id="68" w:name="_Toc76885661"/>
      <w:r>
        <w:rPr>
          <w:rFonts w:hint="eastAsia" w:ascii="仿宋" w:hAnsi="仿宋" w:eastAsia="仿宋" w:cs="仿宋"/>
          <w:b/>
          <w:bCs w:val="0"/>
          <w:color w:val="auto"/>
        </w:rPr>
        <w:t>（三）现场的要求</w:t>
      </w:r>
      <w:bookmarkEnd w:id="67"/>
      <w:bookmarkEnd w:id="68"/>
    </w:p>
    <w:p>
      <w:pPr>
        <w:pStyle w:val="17"/>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color w:val="auto"/>
          <w:spacing w:val="0"/>
          <w:kern w:val="2"/>
          <w:sz w:val="32"/>
          <w:szCs w:val="32"/>
          <w:lang w:val="en-US" w:eastAsia="zh-CN"/>
        </w:rPr>
      </w:pPr>
      <w:r>
        <w:rPr>
          <w:rFonts w:hint="eastAsia" w:ascii="仿宋" w:hAnsi="仿宋" w:eastAsia="仿宋" w:cs="仿宋"/>
          <w:b w:val="0"/>
          <w:color w:val="auto"/>
          <w:spacing w:val="0"/>
          <w:kern w:val="2"/>
          <w:sz w:val="32"/>
          <w:szCs w:val="32"/>
          <w:lang w:val="en-US" w:eastAsia="zh-CN"/>
        </w:rPr>
        <w:t>经大赛组委会允许的赞助商和负责宣传的媒体记者，按竞赛规则的要求进入赛场相关区域。上述相关人员不得妨碍、烦扰选手竞赛，不得有任何影响竞赛公平、公正的行为。</w:t>
      </w:r>
      <w:bookmarkStart w:id="69" w:name="_Toc461471535"/>
      <w:bookmarkEnd w:id="69"/>
    </w:p>
    <w:p>
      <w:pPr>
        <w:pageBreakBefore w:val="0"/>
        <w:kinsoku/>
        <w:wordWrap/>
        <w:overflowPunct/>
        <w:topLinePunct w:val="0"/>
        <w:bidi w:val="0"/>
        <w:spacing w:line="600" w:lineRule="exact"/>
        <w:textAlignment w:val="auto"/>
        <w:rPr>
          <w:rFonts w:hint="eastAsia" w:ascii="仿宋" w:hAnsi="仿宋" w:eastAsia="仿宋" w:cs="仿宋"/>
          <w:color w:val="auto"/>
        </w:rPr>
      </w:pPr>
    </w:p>
    <w:sectPr>
      <w:footerReference r:id="rId6" w:type="default"/>
      <w:pgSz w:w="11906" w:h="16838"/>
      <w:pgMar w:top="1440" w:right="1644" w:bottom="1440" w:left="1644" w:header="851" w:footer="992" w:gutter="0"/>
      <w:pgBorders>
        <w:top w:val="none" w:sz="0" w:space="0"/>
        <w:left w:val="none" w:sz="0" w:space="0"/>
        <w:bottom w:val="none" w:sz="0" w:space="0"/>
        <w:right w:val="none" w:sz="0" w:space="0"/>
      </w:pgBorders>
      <w:pgNumType w:start="1"/>
      <w:cols w:space="72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Frutiger LT Com 45 Light">
    <w:altName w:val="Segoe Print"/>
    <w:panose1 w:val="00000000000000000000"/>
    <w:charset w:val="00"/>
    <w:family w:val="decorative"/>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Inria Serif">
    <w:altName w:val="Segoe Print"/>
    <w:panose1 w:val="00000000000000000000"/>
    <w:charset w:val="00"/>
    <w:family w:val="auto"/>
    <w:pitch w:val="default"/>
    <w:sig w:usb0="00000000" w:usb1="00000000" w:usb2="00000000" w:usb3="00000000" w:csb0="00000001" w:csb1="00000000"/>
  </w:font>
  <w:font w:name="Times New Roman (Headings CS)">
    <w:altName w:val="Times New Roman"/>
    <w:panose1 w:val="00000000000000000000"/>
    <w:charset w:val="00"/>
    <w:family w:val="modern"/>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72C4E9A3-04BB-41E0-BB4D-04E5F2E15067}"/>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2646485"/>
      <w:docPartObj>
        <w:docPartGallery w:val="autotext"/>
      </w:docPartObj>
    </w:sdtPr>
    <w:sdtEndPr>
      <w:rPr>
        <w:sz w:val="24"/>
        <w:szCs w:val="24"/>
      </w:rPr>
    </w:sdtEndPr>
    <w:sdtContent>
      <w:p>
        <w:pPr>
          <w:pStyle w:val="11"/>
          <w:jc w:val="center"/>
          <w:rPr>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PAGE   \* MERGEFORMAT</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2</w:t>
        </w:r>
        <w:r>
          <w:rPr>
            <w:rFonts w:hint="eastAsia" w:ascii="宋体" w:hAnsi="宋体" w:eastAsia="宋体" w:cs="宋体"/>
            <w:sz w:val="24"/>
            <w:szCs w:val="24"/>
          </w:rPr>
          <w:fldChar w:fldCharType="end"/>
        </w:r>
      </w:p>
    </w:sdtContent>
  </w:sdt>
  <w:p>
    <w:pPr>
      <w:pStyle w:val="11"/>
      <w:tabs>
        <w:tab w:val="clear" w:pos="4153"/>
      </w:tabs>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4"/>
      <w:numFmt w:val="bullet"/>
      <w:pStyle w:val="2"/>
      <w:lvlText w:val="□"/>
      <w:lvlJc w:val="left"/>
      <w:pPr>
        <w:tabs>
          <w:tab w:val="left" w:pos="360"/>
        </w:tabs>
        <w:ind w:left="360" w:hanging="360"/>
      </w:pPr>
      <w:rPr>
        <w:rFonts w:hint="eastAsia" w:ascii="宋体" w:hAnsi="宋体" w:eastAsia="宋体" w:cs="Times New Roman"/>
        <w:b/>
        <w:sz w:val="44"/>
      </w:rPr>
    </w:lvl>
    <w:lvl w:ilvl="1" w:tentative="0">
      <w:start w:val="1"/>
      <w:numFmt w:val="bullet"/>
      <w:pStyle w:val="3"/>
      <w:lvlText w:val=""/>
      <w:lvlJc w:val="left"/>
      <w:pPr>
        <w:tabs>
          <w:tab w:val="left" w:pos="840"/>
        </w:tabs>
        <w:ind w:left="840" w:hanging="420"/>
      </w:pPr>
      <w:rPr>
        <w:rFonts w:hint="default" w:ascii="Wingdings" w:hAnsi="Wingdings"/>
      </w:rPr>
    </w:lvl>
    <w:lvl w:ilvl="2" w:tentative="0">
      <w:start w:val="1"/>
      <w:numFmt w:val="bullet"/>
      <w:pStyle w:val="4"/>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0000003"/>
    <w:multiLevelType w:val="multilevel"/>
    <w:tmpl w:val="00000003"/>
    <w:lvl w:ilvl="0" w:tentative="0">
      <w:start w:val="4"/>
      <w:numFmt w:val="japaneseCounting"/>
      <w:pStyle w:val="36"/>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TrueTypeFonts/>
  <w:saveSubsetFonts/>
  <w:bordersDoNotSurroundHeader w:val="1"/>
  <w:bordersDoNotSurroundFooter w:val="1"/>
  <w:documentProtection w:enforcement="0"/>
  <w:defaultTabStop w:val="420"/>
  <w:drawingGridHorizontalSpacing w:val="105"/>
  <w:drawingGridVerticalSpacing w:val="159"/>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g3YWVhNjdlYjFjYWVjOGJiNzAyY2QxNjIyMTlmZjYifQ=="/>
  </w:docVars>
  <w:rsids>
    <w:rsidRoot w:val="00172A27"/>
    <w:rsid w:val="00002E0E"/>
    <w:rsid w:val="000031F3"/>
    <w:rsid w:val="000034E7"/>
    <w:rsid w:val="000038CE"/>
    <w:rsid w:val="00003A52"/>
    <w:rsid w:val="00003CD2"/>
    <w:rsid w:val="00004218"/>
    <w:rsid w:val="0000542C"/>
    <w:rsid w:val="00006790"/>
    <w:rsid w:val="00012499"/>
    <w:rsid w:val="00012F2F"/>
    <w:rsid w:val="0001497C"/>
    <w:rsid w:val="00017B7A"/>
    <w:rsid w:val="0002283E"/>
    <w:rsid w:val="000238DE"/>
    <w:rsid w:val="00025548"/>
    <w:rsid w:val="0002644F"/>
    <w:rsid w:val="00030DE0"/>
    <w:rsid w:val="00032A69"/>
    <w:rsid w:val="0003478D"/>
    <w:rsid w:val="0003640E"/>
    <w:rsid w:val="00037886"/>
    <w:rsid w:val="00040244"/>
    <w:rsid w:val="0004175D"/>
    <w:rsid w:val="00044355"/>
    <w:rsid w:val="0004578A"/>
    <w:rsid w:val="00045BA5"/>
    <w:rsid w:val="00046F3E"/>
    <w:rsid w:val="00047F51"/>
    <w:rsid w:val="00050437"/>
    <w:rsid w:val="00050E06"/>
    <w:rsid w:val="00051399"/>
    <w:rsid w:val="00053900"/>
    <w:rsid w:val="000552DB"/>
    <w:rsid w:val="000564E4"/>
    <w:rsid w:val="000609BE"/>
    <w:rsid w:val="000609D5"/>
    <w:rsid w:val="000616F5"/>
    <w:rsid w:val="00062AA5"/>
    <w:rsid w:val="00065145"/>
    <w:rsid w:val="000667A7"/>
    <w:rsid w:val="000736FE"/>
    <w:rsid w:val="00073991"/>
    <w:rsid w:val="00074C03"/>
    <w:rsid w:val="00075AB6"/>
    <w:rsid w:val="00075B9D"/>
    <w:rsid w:val="00077397"/>
    <w:rsid w:val="00077B9D"/>
    <w:rsid w:val="00080948"/>
    <w:rsid w:val="00080D7F"/>
    <w:rsid w:val="000816F8"/>
    <w:rsid w:val="000844E7"/>
    <w:rsid w:val="00087E81"/>
    <w:rsid w:val="000900B8"/>
    <w:rsid w:val="000940B5"/>
    <w:rsid w:val="00094D29"/>
    <w:rsid w:val="00095C95"/>
    <w:rsid w:val="00095E32"/>
    <w:rsid w:val="000967E5"/>
    <w:rsid w:val="00096FC5"/>
    <w:rsid w:val="000A0494"/>
    <w:rsid w:val="000A117E"/>
    <w:rsid w:val="000A273E"/>
    <w:rsid w:val="000A39ED"/>
    <w:rsid w:val="000A4277"/>
    <w:rsid w:val="000A4D81"/>
    <w:rsid w:val="000B3EA9"/>
    <w:rsid w:val="000B6571"/>
    <w:rsid w:val="000B7025"/>
    <w:rsid w:val="000B7729"/>
    <w:rsid w:val="000C31F5"/>
    <w:rsid w:val="000C3354"/>
    <w:rsid w:val="000C4A1A"/>
    <w:rsid w:val="000C572A"/>
    <w:rsid w:val="000C5AF3"/>
    <w:rsid w:val="000C5BD2"/>
    <w:rsid w:val="000C69CE"/>
    <w:rsid w:val="000C6C5F"/>
    <w:rsid w:val="000D0BEF"/>
    <w:rsid w:val="000D2B9D"/>
    <w:rsid w:val="000D474F"/>
    <w:rsid w:val="000D66D4"/>
    <w:rsid w:val="000D7D48"/>
    <w:rsid w:val="000D7DE6"/>
    <w:rsid w:val="000E1676"/>
    <w:rsid w:val="000E31A3"/>
    <w:rsid w:val="000E3615"/>
    <w:rsid w:val="000E396B"/>
    <w:rsid w:val="000E50CD"/>
    <w:rsid w:val="000E6A82"/>
    <w:rsid w:val="000E71B1"/>
    <w:rsid w:val="000E76D4"/>
    <w:rsid w:val="000F02C3"/>
    <w:rsid w:val="000F070E"/>
    <w:rsid w:val="000F1F6F"/>
    <w:rsid w:val="000F3413"/>
    <w:rsid w:val="000F4159"/>
    <w:rsid w:val="000F4FA9"/>
    <w:rsid w:val="000F4FD5"/>
    <w:rsid w:val="000F5D34"/>
    <w:rsid w:val="000F69A5"/>
    <w:rsid w:val="000F7734"/>
    <w:rsid w:val="000F77FF"/>
    <w:rsid w:val="00100856"/>
    <w:rsid w:val="001015F0"/>
    <w:rsid w:val="001017E4"/>
    <w:rsid w:val="00103A36"/>
    <w:rsid w:val="0010421C"/>
    <w:rsid w:val="00104227"/>
    <w:rsid w:val="001050F3"/>
    <w:rsid w:val="001055B2"/>
    <w:rsid w:val="00107B6C"/>
    <w:rsid w:val="00107CDB"/>
    <w:rsid w:val="00110C84"/>
    <w:rsid w:val="0011228B"/>
    <w:rsid w:val="00113592"/>
    <w:rsid w:val="001146A4"/>
    <w:rsid w:val="00114A20"/>
    <w:rsid w:val="00115F94"/>
    <w:rsid w:val="00116099"/>
    <w:rsid w:val="001200FD"/>
    <w:rsid w:val="001201BE"/>
    <w:rsid w:val="001204C2"/>
    <w:rsid w:val="0012242E"/>
    <w:rsid w:val="00123069"/>
    <w:rsid w:val="0012693B"/>
    <w:rsid w:val="00126E80"/>
    <w:rsid w:val="001273E2"/>
    <w:rsid w:val="001278B9"/>
    <w:rsid w:val="0013087F"/>
    <w:rsid w:val="00133F93"/>
    <w:rsid w:val="0013518A"/>
    <w:rsid w:val="00135B9D"/>
    <w:rsid w:val="001371F3"/>
    <w:rsid w:val="00137B7A"/>
    <w:rsid w:val="001416A0"/>
    <w:rsid w:val="00142087"/>
    <w:rsid w:val="00142262"/>
    <w:rsid w:val="00142E5C"/>
    <w:rsid w:val="00143067"/>
    <w:rsid w:val="00143F7E"/>
    <w:rsid w:val="00146A7E"/>
    <w:rsid w:val="001471E5"/>
    <w:rsid w:val="00156224"/>
    <w:rsid w:val="00156509"/>
    <w:rsid w:val="00160024"/>
    <w:rsid w:val="00161015"/>
    <w:rsid w:val="00162406"/>
    <w:rsid w:val="0016326D"/>
    <w:rsid w:val="001634CA"/>
    <w:rsid w:val="001637E7"/>
    <w:rsid w:val="001649EF"/>
    <w:rsid w:val="00164B7A"/>
    <w:rsid w:val="00165BB8"/>
    <w:rsid w:val="00166768"/>
    <w:rsid w:val="00166917"/>
    <w:rsid w:val="0016708E"/>
    <w:rsid w:val="0016712D"/>
    <w:rsid w:val="00167589"/>
    <w:rsid w:val="00167942"/>
    <w:rsid w:val="00170610"/>
    <w:rsid w:val="001713D7"/>
    <w:rsid w:val="00172046"/>
    <w:rsid w:val="00172A27"/>
    <w:rsid w:val="00172C3C"/>
    <w:rsid w:val="0017382D"/>
    <w:rsid w:val="00176571"/>
    <w:rsid w:val="00180A89"/>
    <w:rsid w:val="001837C3"/>
    <w:rsid w:val="00183880"/>
    <w:rsid w:val="00184512"/>
    <w:rsid w:val="0018660C"/>
    <w:rsid w:val="00186D47"/>
    <w:rsid w:val="001872B6"/>
    <w:rsid w:val="00187368"/>
    <w:rsid w:val="00191497"/>
    <w:rsid w:val="00191F61"/>
    <w:rsid w:val="001946A3"/>
    <w:rsid w:val="00195F47"/>
    <w:rsid w:val="00196E8E"/>
    <w:rsid w:val="001A0380"/>
    <w:rsid w:val="001A0801"/>
    <w:rsid w:val="001A0ACC"/>
    <w:rsid w:val="001A1480"/>
    <w:rsid w:val="001A26F3"/>
    <w:rsid w:val="001A386B"/>
    <w:rsid w:val="001A3E7F"/>
    <w:rsid w:val="001A4562"/>
    <w:rsid w:val="001A50B6"/>
    <w:rsid w:val="001A6F89"/>
    <w:rsid w:val="001B0299"/>
    <w:rsid w:val="001B2354"/>
    <w:rsid w:val="001B2407"/>
    <w:rsid w:val="001B3E09"/>
    <w:rsid w:val="001B6359"/>
    <w:rsid w:val="001B64A6"/>
    <w:rsid w:val="001B7D5A"/>
    <w:rsid w:val="001C0B8C"/>
    <w:rsid w:val="001C1AA3"/>
    <w:rsid w:val="001C212C"/>
    <w:rsid w:val="001C2B18"/>
    <w:rsid w:val="001C2D45"/>
    <w:rsid w:val="001C339C"/>
    <w:rsid w:val="001C3A39"/>
    <w:rsid w:val="001C405E"/>
    <w:rsid w:val="001C4680"/>
    <w:rsid w:val="001C4E49"/>
    <w:rsid w:val="001C6017"/>
    <w:rsid w:val="001C6224"/>
    <w:rsid w:val="001C64B5"/>
    <w:rsid w:val="001C6B06"/>
    <w:rsid w:val="001C74BF"/>
    <w:rsid w:val="001D0773"/>
    <w:rsid w:val="001D20C0"/>
    <w:rsid w:val="001D2D2C"/>
    <w:rsid w:val="001D4AF5"/>
    <w:rsid w:val="001D4EC1"/>
    <w:rsid w:val="001D572A"/>
    <w:rsid w:val="001D5CDD"/>
    <w:rsid w:val="001D770E"/>
    <w:rsid w:val="001E00E7"/>
    <w:rsid w:val="001E25C2"/>
    <w:rsid w:val="001E6E56"/>
    <w:rsid w:val="001E7422"/>
    <w:rsid w:val="001E7AE0"/>
    <w:rsid w:val="001E7B09"/>
    <w:rsid w:val="001F0197"/>
    <w:rsid w:val="001F1116"/>
    <w:rsid w:val="001F1D70"/>
    <w:rsid w:val="001F2C23"/>
    <w:rsid w:val="001F36AF"/>
    <w:rsid w:val="001F3B36"/>
    <w:rsid w:val="001F3C38"/>
    <w:rsid w:val="001F48CD"/>
    <w:rsid w:val="001F61E2"/>
    <w:rsid w:val="001F6F5E"/>
    <w:rsid w:val="00200000"/>
    <w:rsid w:val="0020054A"/>
    <w:rsid w:val="0020142F"/>
    <w:rsid w:val="002016EA"/>
    <w:rsid w:val="002058F1"/>
    <w:rsid w:val="00205A24"/>
    <w:rsid w:val="0020787B"/>
    <w:rsid w:val="00210F53"/>
    <w:rsid w:val="00211797"/>
    <w:rsid w:val="00213E38"/>
    <w:rsid w:val="002145A8"/>
    <w:rsid w:val="0021548E"/>
    <w:rsid w:val="002157E8"/>
    <w:rsid w:val="00215A7F"/>
    <w:rsid w:val="002167B4"/>
    <w:rsid w:val="0022187B"/>
    <w:rsid w:val="00221EA3"/>
    <w:rsid w:val="0022201D"/>
    <w:rsid w:val="0022545D"/>
    <w:rsid w:val="00225883"/>
    <w:rsid w:val="00226AEE"/>
    <w:rsid w:val="00230A29"/>
    <w:rsid w:val="002312C8"/>
    <w:rsid w:val="00231A83"/>
    <w:rsid w:val="00231E87"/>
    <w:rsid w:val="00231EB6"/>
    <w:rsid w:val="002337FF"/>
    <w:rsid w:val="0023470F"/>
    <w:rsid w:val="002358AD"/>
    <w:rsid w:val="00236774"/>
    <w:rsid w:val="002417C9"/>
    <w:rsid w:val="00241F8F"/>
    <w:rsid w:val="00242042"/>
    <w:rsid w:val="0024228D"/>
    <w:rsid w:val="002440D2"/>
    <w:rsid w:val="00244DC3"/>
    <w:rsid w:val="00244ECC"/>
    <w:rsid w:val="00245192"/>
    <w:rsid w:val="002457E6"/>
    <w:rsid w:val="0024765B"/>
    <w:rsid w:val="002476CB"/>
    <w:rsid w:val="00247A42"/>
    <w:rsid w:val="00250A0E"/>
    <w:rsid w:val="00250A83"/>
    <w:rsid w:val="00250F5F"/>
    <w:rsid w:val="00251669"/>
    <w:rsid w:val="002522E6"/>
    <w:rsid w:val="00252F03"/>
    <w:rsid w:val="00253867"/>
    <w:rsid w:val="00254EA5"/>
    <w:rsid w:val="00254F2F"/>
    <w:rsid w:val="00255D2A"/>
    <w:rsid w:val="0025690D"/>
    <w:rsid w:val="00256E0F"/>
    <w:rsid w:val="00257C59"/>
    <w:rsid w:val="0026053E"/>
    <w:rsid w:val="00261164"/>
    <w:rsid w:val="00261240"/>
    <w:rsid w:val="002619F8"/>
    <w:rsid w:val="00263284"/>
    <w:rsid w:val="00263BD7"/>
    <w:rsid w:val="002641A0"/>
    <w:rsid w:val="00267284"/>
    <w:rsid w:val="002677BA"/>
    <w:rsid w:val="00271FBB"/>
    <w:rsid w:val="00272A13"/>
    <w:rsid w:val="00272AC7"/>
    <w:rsid w:val="00273039"/>
    <w:rsid w:val="0027501D"/>
    <w:rsid w:val="0027627F"/>
    <w:rsid w:val="002762D7"/>
    <w:rsid w:val="00277F26"/>
    <w:rsid w:val="002801B5"/>
    <w:rsid w:val="00280214"/>
    <w:rsid w:val="00280965"/>
    <w:rsid w:val="00281014"/>
    <w:rsid w:val="00282205"/>
    <w:rsid w:val="002823BB"/>
    <w:rsid w:val="00282C86"/>
    <w:rsid w:val="00284A2E"/>
    <w:rsid w:val="00284F98"/>
    <w:rsid w:val="00286035"/>
    <w:rsid w:val="002860E6"/>
    <w:rsid w:val="0028628E"/>
    <w:rsid w:val="002865F1"/>
    <w:rsid w:val="00290392"/>
    <w:rsid w:val="00291C5A"/>
    <w:rsid w:val="002933A8"/>
    <w:rsid w:val="002937D2"/>
    <w:rsid w:val="00293C12"/>
    <w:rsid w:val="00293F42"/>
    <w:rsid w:val="00295F55"/>
    <w:rsid w:val="0029652D"/>
    <w:rsid w:val="002A095D"/>
    <w:rsid w:val="002A1F35"/>
    <w:rsid w:val="002A3AC9"/>
    <w:rsid w:val="002A4BE1"/>
    <w:rsid w:val="002A5468"/>
    <w:rsid w:val="002A554D"/>
    <w:rsid w:val="002A71A1"/>
    <w:rsid w:val="002A73F3"/>
    <w:rsid w:val="002B3D11"/>
    <w:rsid w:val="002B4835"/>
    <w:rsid w:val="002B6309"/>
    <w:rsid w:val="002B63A3"/>
    <w:rsid w:val="002B709A"/>
    <w:rsid w:val="002B7E77"/>
    <w:rsid w:val="002C062F"/>
    <w:rsid w:val="002C06C7"/>
    <w:rsid w:val="002C08F5"/>
    <w:rsid w:val="002C0D98"/>
    <w:rsid w:val="002C122C"/>
    <w:rsid w:val="002C2CCC"/>
    <w:rsid w:val="002C2EC4"/>
    <w:rsid w:val="002C3B78"/>
    <w:rsid w:val="002C4723"/>
    <w:rsid w:val="002C4D61"/>
    <w:rsid w:val="002C69F9"/>
    <w:rsid w:val="002C7D78"/>
    <w:rsid w:val="002D2DE3"/>
    <w:rsid w:val="002D356F"/>
    <w:rsid w:val="002D3F55"/>
    <w:rsid w:val="002D479B"/>
    <w:rsid w:val="002D49A3"/>
    <w:rsid w:val="002D6C8E"/>
    <w:rsid w:val="002E06DC"/>
    <w:rsid w:val="002E0823"/>
    <w:rsid w:val="002E0E84"/>
    <w:rsid w:val="002E1849"/>
    <w:rsid w:val="002E1E1F"/>
    <w:rsid w:val="002E29A4"/>
    <w:rsid w:val="002E3224"/>
    <w:rsid w:val="002E3459"/>
    <w:rsid w:val="002E3791"/>
    <w:rsid w:val="002E660C"/>
    <w:rsid w:val="002E66BD"/>
    <w:rsid w:val="002E77E5"/>
    <w:rsid w:val="002F23FB"/>
    <w:rsid w:val="002F27AD"/>
    <w:rsid w:val="002F387B"/>
    <w:rsid w:val="00300F52"/>
    <w:rsid w:val="00302632"/>
    <w:rsid w:val="00303AD4"/>
    <w:rsid w:val="00304A19"/>
    <w:rsid w:val="00305767"/>
    <w:rsid w:val="00306941"/>
    <w:rsid w:val="00307CFE"/>
    <w:rsid w:val="00310C7A"/>
    <w:rsid w:val="003124E5"/>
    <w:rsid w:val="00312937"/>
    <w:rsid w:val="00312FF5"/>
    <w:rsid w:val="00313370"/>
    <w:rsid w:val="00314C32"/>
    <w:rsid w:val="00314D01"/>
    <w:rsid w:val="00316ACE"/>
    <w:rsid w:val="00316CA1"/>
    <w:rsid w:val="003171DD"/>
    <w:rsid w:val="00317736"/>
    <w:rsid w:val="00317C8E"/>
    <w:rsid w:val="00321CCB"/>
    <w:rsid w:val="0032281A"/>
    <w:rsid w:val="00323086"/>
    <w:rsid w:val="00327157"/>
    <w:rsid w:val="00327847"/>
    <w:rsid w:val="003316E2"/>
    <w:rsid w:val="00333515"/>
    <w:rsid w:val="00333A41"/>
    <w:rsid w:val="003359CA"/>
    <w:rsid w:val="00335F99"/>
    <w:rsid w:val="00336499"/>
    <w:rsid w:val="00337C19"/>
    <w:rsid w:val="00341F22"/>
    <w:rsid w:val="0034380C"/>
    <w:rsid w:val="00343819"/>
    <w:rsid w:val="003438DD"/>
    <w:rsid w:val="00344124"/>
    <w:rsid w:val="00344157"/>
    <w:rsid w:val="00344B05"/>
    <w:rsid w:val="0034585F"/>
    <w:rsid w:val="0034719D"/>
    <w:rsid w:val="00347F35"/>
    <w:rsid w:val="00347F41"/>
    <w:rsid w:val="003505E8"/>
    <w:rsid w:val="00350CC1"/>
    <w:rsid w:val="0035218A"/>
    <w:rsid w:val="00352345"/>
    <w:rsid w:val="003531D3"/>
    <w:rsid w:val="00355B10"/>
    <w:rsid w:val="0036030A"/>
    <w:rsid w:val="00360CD0"/>
    <w:rsid w:val="003610F2"/>
    <w:rsid w:val="0036238F"/>
    <w:rsid w:val="00362BB2"/>
    <w:rsid w:val="00362D9D"/>
    <w:rsid w:val="00364DA0"/>
    <w:rsid w:val="003665F7"/>
    <w:rsid w:val="00366657"/>
    <w:rsid w:val="00367B02"/>
    <w:rsid w:val="003709FC"/>
    <w:rsid w:val="00371DD5"/>
    <w:rsid w:val="003727DD"/>
    <w:rsid w:val="0037477A"/>
    <w:rsid w:val="00374CD5"/>
    <w:rsid w:val="003753C3"/>
    <w:rsid w:val="00375892"/>
    <w:rsid w:val="00377ED2"/>
    <w:rsid w:val="00381FF9"/>
    <w:rsid w:val="00383746"/>
    <w:rsid w:val="00384660"/>
    <w:rsid w:val="00386E7F"/>
    <w:rsid w:val="00387D90"/>
    <w:rsid w:val="00390D20"/>
    <w:rsid w:val="00391356"/>
    <w:rsid w:val="0039158E"/>
    <w:rsid w:val="00393017"/>
    <w:rsid w:val="003934C6"/>
    <w:rsid w:val="003935ED"/>
    <w:rsid w:val="003952B9"/>
    <w:rsid w:val="00395840"/>
    <w:rsid w:val="00396A8A"/>
    <w:rsid w:val="003976A2"/>
    <w:rsid w:val="003A0CC9"/>
    <w:rsid w:val="003A0E59"/>
    <w:rsid w:val="003A10DA"/>
    <w:rsid w:val="003A1DD1"/>
    <w:rsid w:val="003A2755"/>
    <w:rsid w:val="003A3823"/>
    <w:rsid w:val="003A3E10"/>
    <w:rsid w:val="003A504A"/>
    <w:rsid w:val="003A551C"/>
    <w:rsid w:val="003A5B30"/>
    <w:rsid w:val="003A6B8E"/>
    <w:rsid w:val="003B1AD7"/>
    <w:rsid w:val="003B1B8A"/>
    <w:rsid w:val="003B3B99"/>
    <w:rsid w:val="003B4480"/>
    <w:rsid w:val="003B52B6"/>
    <w:rsid w:val="003C048E"/>
    <w:rsid w:val="003C1383"/>
    <w:rsid w:val="003C3075"/>
    <w:rsid w:val="003C5E4C"/>
    <w:rsid w:val="003C678F"/>
    <w:rsid w:val="003C75E2"/>
    <w:rsid w:val="003D067E"/>
    <w:rsid w:val="003D2AB1"/>
    <w:rsid w:val="003D2E60"/>
    <w:rsid w:val="003D3F37"/>
    <w:rsid w:val="003D436A"/>
    <w:rsid w:val="003D4422"/>
    <w:rsid w:val="003D45FE"/>
    <w:rsid w:val="003D601F"/>
    <w:rsid w:val="003D7582"/>
    <w:rsid w:val="003D78DA"/>
    <w:rsid w:val="003D7D76"/>
    <w:rsid w:val="003E16CE"/>
    <w:rsid w:val="003E25C5"/>
    <w:rsid w:val="003E2D1A"/>
    <w:rsid w:val="003E6842"/>
    <w:rsid w:val="003E6C9A"/>
    <w:rsid w:val="003F0168"/>
    <w:rsid w:val="003F1D1B"/>
    <w:rsid w:val="003F1EFF"/>
    <w:rsid w:val="003F2C87"/>
    <w:rsid w:val="003F2E13"/>
    <w:rsid w:val="003F3768"/>
    <w:rsid w:val="003F38F7"/>
    <w:rsid w:val="003F4820"/>
    <w:rsid w:val="003F5E75"/>
    <w:rsid w:val="003F6380"/>
    <w:rsid w:val="003F6797"/>
    <w:rsid w:val="0040119F"/>
    <w:rsid w:val="004037EC"/>
    <w:rsid w:val="00404019"/>
    <w:rsid w:val="00404AD3"/>
    <w:rsid w:val="00405384"/>
    <w:rsid w:val="00406C2D"/>
    <w:rsid w:val="004110BF"/>
    <w:rsid w:val="00411812"/>
    <w:rsid w:val="0041207A"/>
    <w:rsid w:val="00412931"/>
    <w:rsid w:val="004138AC"/>
    <w:rsid w:val="00414B7F"/>
    <w:rsid w:val="004158EA"/>
    <w:rsid w:val="00415989"/>
    <w:rsid w:val="00416A19"/>
    <w:rsid w:val="00416AF2"/>
    <w:rsid w:val="004228C8"/>
    <w:rsid w:val="00422B4D"/>
    <w:rsid w:val="004246CC"/>
    <w:rsid w:val="00427E4E"/>
    <w:rsid w:val="00430188"/>
    <w:rsid w:val="00431812"/>
    <w:rsid w:val="00432C52"/>
    <w:rsid w:val="00432EB2"/>
    <w:rsid w:val="00434358"/>
    <w:rsid w:val="0043503F"/>
    <w:rsid w:val="00436D31"/>
    <w:rsid w:val="004379EF"/>
    <w:rsid w:val="004410CA"/>
    <w:rsid w:val="00441AAB"/>
    <w:rsid w:val="004430B4"/>
    <w:rsid w:val="00445714"/>
    <w:rsid w:val="00446B58"/>
    <w:rsid w:val="00447A07"/>
    <w:rsid w:val="00450063"/>
    <w:rsid w:val="00450EFF"/>
    <w:rsid w:val="00450FA7"/>
    <w:rsid w:val="00451F68"/>
    <w:rsid w:val="00453248"/>
    <w:rsid w:val="00455A2B"/>
    <w:rsid w:val="00456C27"/>
    <w:rsid w:val="004626E3"/>
    <w:rsid w:val="004651DA"/>
    <w:rsid w:val="00465FB6"/>
    <w:rsid w:val="00466E97"/>
    <w:rsid w:val="00467BC6"/>
    <w:rsid w:val="00467E57"/>
    <w:rsid w:val="00470B61"/>
    <w:rsid w:val="00470EA1"/>
    <w:rsid w:val="00471F1B"/>
    <w:rsid w:val="004731A6"/>
    <w:rsid w:val="00473E15"/>
    <w:rsid w:val="004740C3"/>
    <w:rsid w:val="0047558A"/>
    <w:rsid w:val="00475FDB"/>
    <w:rsid w:val="004761DA"/>
    <w:rsid w:val="00476C23"/>
    <w:rsid w:val="004808AD"/>
    <w:rsid w:val="00480D8F"/>
    <w:rsid w:val="004816A0"/>
    <w:rsid w:val="00482FBA"/>
    <w:rsid w:val="00484119"/>
    <w:rsid w:val="004911BB"/>
    <w:rsid w:val="0049131A"/>
    <w:rsid w:val="00491C34"/>
    <w:rsid w:val="00492290"/>
    <w:rsid w:val="004942C7"/>
    <w:rsid w:val="00495FC2"/>
    <w:rsid w:val="004A0EE1"/>
    <w:rsid w:val="004A102B"/>
    <w:rsid w:val="004A3210"/>
    <w:rsid w:val="004A3CAC"/>
    <w:rsid w:val="004A51B2"/>
    <w:rsid w:val="004A5D6C"/>
    <w:rsid w:val="004A660A"/>
    <w:rsid w:val="004A7617"/>
    <w:rsid w:val="004B020E"/>
    <w:rsid w:val="004B12BE"/>
    <w:rsid w:val="004B12F5"/>
    <w:rsid w:val="004B151F"/>
    <w:rsid w:val="004B1B5D"/>
    <w:rsid w:val="004B2D29"/>
    <w:rsid w:val="004B2D34"/>
    <w:rsid w:val="004B3397"/>
    <w:rsid w:val="004B3E51"/>
    <w:rsid w:val="004B4629"/>
    <w:rsid w:val="004B720F"/>
    <w:rsid w:val="004B759D"/>
    <w:rsid w:val="004B7E23"/>
    <w:rsid w:val="004C01A0"/>
    <w:rsid w:val="004C028E"/>
    <w:rsid w:val="004C02CE"/>
    <w:rsid w:val="004C0C72"/>
    <w:rsid w:val="004C2B89"/>
    <w:rsid w:val="004C3A9D"/>
    <w:rsid w:val="004C41DA"/>
    <w:rsid w:val="004D3C1D"/>
    <w:rsid w:val="004D3D3A"/>
    <w:rsid w:val="004D4789"/>
    <w:rsid w:val="004D53C2"/>
    <w:rsid w:val="004D56ED"/>
    <w:rsid w:val="004E0369"/>
    <w:rsid w:val="004E1A1B"/>
    <w:rsid w:val="004E1FA4"/>
    <w:rsid w:val="004E21A2"/>
    <w:rsid w:val="004E2F59"/>
    <w:rsid w:val="004E312C"/>
    <w:rsid w:val="004E3D7F"/>
    <w:rsid w:val="004E4B2C"/>
    <w:rsid w:val="004E4B71"/>
    <w:rsid w:val="004E4CAE"/>
    <w:rsid w:val="004E5198"/>
    <w:rsid w:val="004E53A6"/>
    <w:rsid w:val="004E5563"/>
    <w:rsid w:val="004E5F24"/>
    <w:rsid w:val="004E716D"/>
    <w:rsid w:val="004E74C6"/>
    <w:rsid w:val="004F0839"/>
    <w:rsid w:val="004F098E"/>
    <w:rsid w:val="004F0BDE"/>
    <w:rsid w:val="004F4BF1"/>
    <w:rsid w:val="004F506E"/>
    <w:rsid w:val="004F76E2"/>
    <w:rsid w:val="005015A1"/>
    <w:rsid w:val="00504B32"/>
    <w:rsid w:val="00504D55"/>
    <w:rsid w:val="00506261"/>
    <w:rsid w:val="00507BC5"/>
    <w:rsid w:val="0051417A"/>
    <w:rsid w:val="005147B0"/>
    <w:rsid w:val="00516A33"/>
    <w:rsid w:val="00520CBB"/>
    <w:rsid w:val="00521134"/>
    <w:rsid w:val="005212AF"/>
    <w:rsid w:val="0052173B"/>
    <w:rsid w:val="0052382F"/>
    <w:rsid w:val="00524A0F"/>
    <w:rsid w:val="0052522A"/>
    <w:rsid w:val="00525E11"/>
    <w:rsid w:val="00527BD8"/>
    <w:rsid w:val="00530A51"/>
    <w:rsid w:val="00531A45"/>
    <w:rsid w:val="00536B8D"/>
    <w:rsid w:val="005370A8"/>
    <w:rsid w:val="005371D5"/>
    <w:rsid w:val="0054247E"/>
    <w:rsid w:val="005525DE"/>
    <w:rsid w:val="00553499"/>
    <w:rsid w:val="005538FA"/>
    <w:rsid w:val="00554657"/>
    <w:rsid w:val="005557C2"/>
    <w:rsid w:val="00555DB2"/>
    <w:rsid w:val="00556B0B"/>
    <w:rsid w:val="0055712C"/>
    <w:rsid w:val="005574F9"/>
    <w:rsid w:val="00557AB0"/>
    <w:rsid w:val="005606FE"/>
    <w:rsid w:val="005664AF"/>
    <w:rsid w:val="00566AC4"/>
    <w:rsid w:val="00570640"/>
    <w:rsid w:val="00570C1F"/>
    <w:rsid w:val="00571449"/>
    <w:rsid w:val="00571717"/>
    <w:rsid w:val="00571E38"/>
    <w:rsid w:val="005729CC"/>
    <w:rsid w:val="00572E44"/>
    <w:rsid w:val="005737FF"/>
    <w:rsid w:val="00573A78"/>
    <w:rsid w:val="005760BC"/>
    <w:rsid w:val="005777F1"/>
    <w:rsid w:val="0058099C"/>
    <w:rsid w:val="00584BF8"/>
    <w:rsid w:val="00585371"/>
    <w:rsid w:val="00585416"/>
    <w:rsid w:val="005867D0"/>
    <w:rsid w:val="00586A2A"/>
    <w:rsid w:val="00590289"/>
    <w:rsid w:val="005937DC"/>
    <w:rsid w:val="00593A34"/>
    <w:rsid w:val="00593FF6"/>
    <w:rsid w:val="00595A55"/>
    <w:rsid w:val="005A0388"/>
    <w:rsid w:val="005A0722"/>
    <w:rsid w:val="005A133B"/>
    <w:rsid w:val="005A1B2D"/>
    <w:rsid w:val="005A1F4D"/>
    <w:rsid w:val="005A46B9"/>
    <w:rsid w:val="005A5808"/>
    <w:rsid w:val="005A6A13"/>
    <w:rsid w:val="005A7729"/>
    <w:rsid w:val="005A7885"/>
    <w:rsid w:val="005B0170"/>
    <w:rsid w:val="005B037D"/>
    <w:rsid w:val="005B0438"/>
    <w:rsid w:val="005B0A15"/>
    <w:rsid w:val="005B0CCE"/>
    <w:rsid w:val="005B40C9"/>
    <w:rsid w:val="005B4A1E"/>
    <w:rsid w:val="005B55B2"/>
    <w:rsid w:val="005B7139"/>
    <w:rsid w:val="005C0995"/>
    <w:rsid w:val="005C0D50"/>
    <w:rsid w:val="005C1B38"/>
    <w:rsid w:val="005C3FC2"/>
    <w:rsid w:val="005C5720"/>
    <w:rsid w:val="005C5C2A"/>
    <w:rsid w:val="005C714B"/>
    <w:rsid w:val="005C725D"/>
    <w:rsid w:val="005C7E10"/>
    <w:rsid w:val="005D0E94"/>
    <w:rsid w:val="005D18F1"/>
    <w:rsid w:val="005D2453"/>
    <w:rsid w:val="005D28B3"/>
    <w:rsid w:val="005D533D"/>
    <w:rsid w:val="005D64FA"/>
    <w:rsid w:val="005D66B4"/>
    <w:rsid w:val="005D7154"/>
    <w:rsid w:val="005D7F86"/>
    <w:rsid w:val="005E011A"/>
    <w:rsid w:val="005E1433"/>
    <w:rsid w:val="005E1ACD"/>
    <w:rsid w:val="005E1C3A"/>
    <w:rsid w:val="005E1DEF"/>
    <w:rsid w:val="005E33F0"/>
    <w:rsid w:val="005F0F47"/>
    <w:rsid w:val="005F3FBA"/>
    <w:rsid w:val="005F476E"/>
    <w:rsid w:val="005F6576"/>
    <w:rsid w:val="005F6ADF"/>
    <w:rsid w:val="005F7B74"/>
    <w:rsid w:val="00601C5B"/>
    <w:rsid w:val="00603CFB"/>
    <w:rsid w:val="0060503B"/>
    <w:rsid w:val="00611DB1"/>
    <w:rsid w:val="006159A1"/>
    <w:rsid w:val="00615A3A"/>
    <w:rsid w:val="00616B1D"/>
    <w:rsid w:val="00616BB5"/>
    <w:rsid w:val="00617051"/>
    <w:rsid w:val="00617239"/>
    <w:rsid w:val="00620326"/>
    <w:rsid w:val="00621057"/>
    <w:rsid w:val="00622465"/>
    <w:rsid w:val="00622BFB"/>
    <w:rsid w:val="00622C01"/>
    <w:rsid w:val="006233A3"/>
    <w:rsid w:val="006247E9"/>
    <w:rsid w:val="00624E7A"/>
    <w:rsid w:val="00625EBF"/>
    <w:rsid w:val="00626330"/>
    <w:rsid w:val="00631980"/>
    <w:rsid w:val="00631F3F"/>
    <w:rsid w:val="00631FAD"/>
    <w:rsid w:val="0063381A"/>
    <w:rsid w:val="00634DC1"/>
    <w:rsid w:val="0064173D"/>
    <w:rsid w:val="006426D6"/>
    <w:rsid w:val="00644039"/>
    <w:rsid w:val="00644321"/>
    <w:rsid w:val="00645B54"/>
    <w:rsid w:val="00650377"/>
    <w:rsid w:val="00650F2C"/>
    <w:rsid w:val="00651A60"/>
    <w:rsid w:val="00651BB9"/>
    <w:rsid w:val="00651ED9"/>
    <w:rsid w:val="00653CC5"/>
    <w:rsid w:val="006544FF"/>
    <w:rsid w:val="00654BE0"/>
    <w:rsid w:val="0065526F"/>
    <w:rsid w:val="00655A2E"/>
    <w:rsid w:val="00656140"/>
    <w:rsid w:val="00656507"/>
    <w:rsid w:val="0066010A"/>
    <w:rsid w:val="00661EF9"/>
    <w:rsid w:val="0066205A"/>
    <w:rsid w:val="00663479"/>
    <w:rsid w:val="006650F0"/>
    <w:rsid w:val="006651C1"/>
    <w:rsid w:val="00665444"/>
    <w:rsid w:val="00666477"/>
    <w:rsid w:val="006667DB"/>
    <w:rsid w:val="00670D3A"/>
    <w:rsid w:val="0067401C"/>
    <w:rsid w:val="006749BA"/>
    <w:rsid w:val="00675AEE"/>
    <w:rsid w:val="00676F53"/>
    <w:rsid w:val="00677FF3"/>
    <w:rsid w:val="006801DF"/>
    <w:rsid w:val="00683C46"/>
    <w:rsid w:val="00683F58"/>
    <w:rsid w:val="006846AF"/>
    <w:rsid w:val="00684BCE"/>
    <w:rsid w:val="00685084"/>
    <w:rsid w:val="00685EF3"/>
    <w:rsid w:val="00690155"/>
    <w:rsid w:val="00693772"/>
    <w:rsid w:val="00696D96"/>
    <w:rsid w:val="00696DD8"/>
    <w:rsid w:val="00696F71"/>
    <w:rsid w:val="006A0747"/>
    <w:rsid w:val="006A18E5"/>
    <w:rsid w:val="006A203E"/>
    <w:rsid w:val="006A31A6"/>
    <w:rsid w:val="006A360E"/>
    <w:rsid w:val="006A3F8E"/>
    <w:rsid w:val="006A4D82"/>
    <w:rsid w:val="006A54B1"/>
    <w:rsid w:val="006A7493"/>
    <w:rsid w:val="006A7D58"/>
    <w:rsid w:val="006B12EC"/>
    <w:rsid w:val="006B16B2"/>
    <w:rsid w:val="006B19C1"/>
    <w:rsid w:val="006B25DF"/>
    <w:rsid w:val="006B275B"/>
    <w:rsid w:val="006B278C"/>
    <w:rsid w:val="006B2E95"/>
    <w:rsid w:val="006B2FA8"/>
    <w:rsid w:val="006B48B3"/>
    <w:rsid w:val="006B61A5"/>
    <w:rsid w:val="006C38D3"/>
    <w:rsid w:val="006C5467"/>
    <w:rsid w:val="006C59E0"/>
    <w:rsid w:val="006C5B04"/>
    <w:rsid w:val="006C5F70"/>
    <w:rsid w:val="006C6476"/>
    <w:rsid w:val="006C74AD"/>
    <w:rsid w:val="006D1D0D"/>
    <w:rsid w:val="006D2D2C"/>
    <w:rsid w:val="006D2FAE"/>
    <w:rsid w:val="006D357F"/>
    <w:rsid w:val="006D4B91"/>
    <w:rsid w:val="006D4DF2"/>
    <w:rsid w:val="006D56E0"/>
    <w:rsid w:val="006D5954"/>
    <w:rsid w:val="006D5AE4"/>
    <w:rsid w:val="006D6FC4"/>
    <w:rsid w:val="006E0117"/>
    <w:rsid w:val="006E1733"/>
    <w:rsid w:val="006E28FB"/>
    <w:rsid w:val="006E42A4"/>
    <w:rsid w:val="006E7633"/>
    <w:rsid w:val="006E7CF8"/>
    <w:rsid w:val="006E7F24"/>
    <w:rsid w:val="006F0C6A"/>
    <w:rsid w:val="006F0CB4"/>
    <w:rsid w:val="006F2EAB"/>
    <w:rsid w:val="006F4032"/>
    <w:rsid w:val="006F66B2"/>
    <w:rsid w:val="006F7794"/>
    <w:rsid w:val="007004FF"/>
    <w:rsid w:val="00700B20"/>
    <w:rsid w:val="007047C3"/>
    <w:rsid w:val="00705DF7"/>
    <w:rsid w:val="0070794B"/>
    <w:rsid w:val="0071036D"/>
    <w:rsid w:val="0071073A"/>
    <w:rsid w:val="007127A9"/>
    <w:rsid w:val="007136BF"/>
    <w:rsid w:val="00714CF7"/>
    <w:rsid w:val="007152F2"/>
    <w:rsid w:val="0071677E"/>
    <w:rsid w:val="00716EF6"/>
    <w:rsid w:val="00721095"/>
    <w:rsid w:val="00722296"/>
    <w:rsid w:val="007243E9"/>
    <w:rsid w:val="007246FC"/>
    <w:rsid w:val="00724CAE"/>
    <w:rsid w:val="007256C0"/>
    <w:rsid w:val="0072640A"/>
    <w:rsid w:val="007278A4"/>
    <w:rsid w:val="007304AF"/>
    <w:rsid w:val="00731F89"/>
    <w:rsid w:val="007330E4"/>
    <w:rsid w:val="00734A26"/>
    <w:rsid w:val="007354DF"/>
    <w:rsid w:val="007364E8"/>
    <w:rsid w:val="00736A1C"/>
    <w:rsid w:val="007373B1"/>
    <w:rsid w:val="0073749A"/>
    <w:rsid w:val="00740B80"/>
    <w:rsid w:val="0074110E"/>
    <w:rsid w:val="007412C6"/>
    <w:rsid w:val="00742D7F"/>
    <w:rsid w:val="00742E04"/>
    <w:rsid w:val="00743E4F"/>
    <w:rsid w:val="00744289"/>
    <w:rsid w:val="00744DC8"/>
    <w:rsid w:val="007465C9"/>
    <w:rsid w:val="00746CE9"/>
    <w:rsid w:val="00751D26"/>
    <w:rsid w:val="00751E22"/>
    <w:rsid w:val="00752AF7"/>
    <w:rsid w:val="00752E66"/>
    <w:rsid w:val="00753427"/>
    <w:rsid w:val="0075390F"/>
    <w:rsid w:val="007542EE"/>
    <w:rsid w:val="007557C8"/>
    <w:rsid w:val="00755B81"/>
    <w:rsid w:val="0075654A"/>
    <w:rsid w:val="00756B7C"/>
    <w:rsid w:val="007576D7"/>
    <w:rsid w:val="00757B5E"/>
    <w:rsid w:val="00760614"/>
    <w:rsid w:val="00761DB6"/>
    <w:rsid w:val="00764151"/>
    <w:rsid w:val="0076527F"/>
    <w:rsid w:val="00767356"/>
    <w:rsid w:val="00770125"/>
    <w:rsid w:val="00774A1F"/>
    <w:rsid w:val="00774D4F"/>
    <w:rsid w:val="00777BEA"/>
    <w:rsid w:val="00780FD3"/>
    <w:rsid w:val="0078120D"/>
    <w:rsid w:val="00781E61"/>
    <w:rsid w:val="00783ADA"/>
    <w:rsid w:val="00784D82"/>
    <w:rsid w:val="007856DE"/>
    <w:rsid w:val="00786FC8"/>
    <w:rsid w:val="007873A6"/>
    <w:rsid w:val="00787A9F"/>
    <w:rsid w:val="00790D9D"/>
    <w:rsid w:val="00792FF0"/>
    <w:rsid w:val="007931E7"/>
    <w:rsid w:val="007937D5"/>
    <w:rsid w:val="00793C68"/>
    <w:rsid w:val="00794BAD"/>
    <w:rsid w:val="00796484"/>
    <w:rsid w:val="007967EF"/>
    <w:rsid w:val="007A0FD5"/>
    <w:rsid w:val="007A16E9"/>
    <w:rsid w:val="007A1E91"/>
    <w:rsid w:val="007A222F"/>
    <w:rsid w:val="007A2AAC"/>
    <w:rsid w:val="007A31E4"/>
    <w:rsid w:val="007A4392"/>
    <w:rsid w:val="007A5B01"/>
    <w:rsid w:val="007A6482"/>
    <w:rsid w:val="007B1BF1"/>
    <w:rsid w:val="007B30F3"/>
    <w:rsid w:val="007B47AC"/>
    <w:rsid w:val="007B5571"/>
    <w:rsid w:val="007B739C"/>
    <w:rsid w:val="007B7AAA"/>
    <w:rsid w:val="007C0914"/>
    <w:rsid w:val="007C2668"/>
    <w:rsid w:val="007C3E11"/>
    <w:rsid w:val="007D0555"/>
    <w:rsid w:val="007D0BE9"/>
    <w:rsid w:val="007D1864"/>
    <w:rsid w:val="007D226F"/>
    <w:rsid w:val="007D298A"/>
    <w:rsid w:val="007D53E6"/>
    <w:rsid w:val="007D6973"/>
    <w:rsid w:val="007D73C6"/>
    <w:rsid w:val="007D7F8E"/>
    <w:rsid w:val="007E04F7"/>
    <w:rsid w:val="007E1D0A"/>
    <w:rsid w:val="007E3069"/>
    <w:rsid w:val="007E3940"/>
    <w:rsid w:val="007E4CAB"/>
    <w:rsid w:val="007F0968"/>
    <w:rsid w:val="007F0E77"/>
    <w:rsid w:val="007F1F16"/>
    <w:rsid w:val="007F207C"/>
    <w:rsid w:val="007F2658"/>
    <w:rsid w:val="007F2B28"/>
    <w:rsid w:val="007F4DD0"/>
    <w:rsid w:val="007F542C"/>
    <w:rsid w:val="007F5973"/>
    <w:rsid w:val="007F6803"/>
    <w:rsid w:val="007F7049"/>
    <w:rsid w:val="007F771B"/>
    <w:rsid w:val="00802C9F"/>
    <w:rsid w:val="00803880"/>
    <w:rsid w:val="00803C65"/>
    <w:rsid w:val="00803FE2"/>
    <w:rsid w:val="0080614F"/>
    <w:rsid w:val="00807DD4"/>
    <w:rsid w:val="00810176"/>
    <w:rsid w:val="008115FC"/>
    <w:rsid w:val="00812252"/>
    <w:rsid w:val="0081401A"/>
    <w:rsid w:val="0081506B"/>
    <w:rsid w:val="00815D4D"/>
    <w:rsid w:val="00817246"/>
    <w:rsid w:val="00820D1A"/>
    <w:rsid w:val="00822A27"/>
    <w:rsid w:val="0082325A"/>
    <w:rsid w:val="008329B6"/>
    <w:rsid w:val="00833264"/>
    <w:rsid w:val="0083331A"/>
    <w:rsid w:val="008333C4"/>
    <w:rsid w:val="00833FC0"/>
    <w:rsid w:val="008369FA"/>
    <w:rsid w:val="0083794B"/>
    <w:rsid w:val="0084142E"/>
    <w:rsid w:val="008425DA"/>
    <w:rsid w:val="00842826"/>
    <w:rsid w:val="0084291E"/>
    <w:rsid w:val="00842F39"/>
    <w:rsid w:val="0084301B"/>
    <w:rsid w:val="0084374A"/>
    <w:rsid w:val="00844064"/>
    <w:rsid w:val="00844137"/>
    <w:rsid w:val="0084426A"/>
    <w:rsid w:val="00844AD3"/>
    <w:rsid w:val="00844AD4"/>
    <w:rsid w:val="008467CD"/>
    <w:rsid w:val="008468AC"/>
    <w:rsid w:val="0084693F"/>
    <w:rsid w:val="008474FD"/>
    <w:rsid w:val="00851233"/>
    <w:rsid w:val="00851CCA"/>
    <w:rsid w:val="0085239E"/>
    <w:rsid w:val="00852E3A"/>
    <w:rsid w:val="0085478F"/>
    <w:rsid w:val="008556B5"/>
    <w:rsid w:val="00856B90"/>
    <w:rsid w:val="00857378"/>
    <w:rsid w:val="0086036E"/>
    <w:rsid w:val="00861194"/>
    <w:rsid w:val="00861624"/>
    <w:rsid w:val="008619DA"/>
    <w:rsid w:val="00862BF7"/>
    <w:rsid w:val="0086318C"/>
    <w:rsid w:val="00864A9F"/>
    <w:rsid w:val="00865959"/>
    <w:rsid w:val="00865BC5"/>
    <w:rsid w:val="00866049"/>
    <w:rsid w:val="0086619C"/>
    <w:rsid w:val="00866630"/>
    <w:rsid w:val="008722AE"/>
    <w:rsid w:val="00874168"/>
    <w:rsid w:val="0087462D"/>
    <w:rsid w:val="008759F1"/>
    <w:rsid w:val="00876B52"/>
    <w:rsid w:val="00881715"/>
    <w:rsid w:val="00885111"/>
    <w:rsid w:val="00885763"/>
    <w:rsid w:val="00886933"/>
    <w:rsid w:val="008870CE"/>
    <w:rsid w:val="00890F29"/>
    <w:rsid w:val="008921F8"/>
    <w:rsid w:val="008931CE"/>
    <w:rsid w:val="008955DB"/>
    <w:rsid w:val="008960FD"/>
    <w:rsid w:val="00896684"/>
    <w:rsid w:val="008974B5"/>
    <w:rsid w:val="00897F69"/>
    <w:rsid w:val="008A08A7"/>
    <w:rsid w:val="008A1533"/>
    <w:rsid w:val="008A23AA"/>
    <w:rsid w:val="008A583B"/>
    <w:rsid w:val="008B08FD"/>
    <w:rsid w:val="008B2CE6"/>
    <w:rsid w:val="008B42FC"/>
    <w:rsid w:val="008B4770"/>
    <w:rsid w:val="008B566C"/>
    <w:rsid w:val="008B5686"/>
    <w:rsid w:val="008B6C47"/>
    <w:rsid w:val="008B6E1C"/>
    <w:rsid w:val="008C0BC7"/>
    <w:rsid w:val="008C0D7F"/>
    <w:rsid w:val="008C17D8"/>
    <w:rsid w:val="008C4756"/>
    <w:rsid w:val="008C580D"/>
    <w:rsid w:val="008C65A3"/>
    <w:rsid w:val="008C72C9"/>
    <w:rsid w:val="008C79D9"/>
    <w:rsid w:val="008C7B87"/>
    <w:rsid w:val="008D0E3C"/>
    <w:rsid w:val="008D20BA"/>
    <w:rsid w:val="008D2C89"/>
    <w:rsid w:val="008D2F39"/>
    <w:rsid w:val="008D33F1"/>
    <w:rsid w:val="008D36CE"/>
    <w:rsid w:val="008D471F"/>
    <w:rsid w:val="008D4A8F"/>
    <w:rsid w:val="008D77EB"/>
    <w:rsid w:val="008D795B"/>
    <w:rsid w:val="008E0E21"/>
    <w:rsid w:val="008E181D"/>
    <w:rsid w:val="008E23FF"/>
    <w:rsid w:val="008E3817"/>
    <w:rsid w:val="008E384C"/>
    <w:rsid w:val="008E3FB8"/>
    <w:rsid w:val="008E4C52"/>
    <w:rsid w:val="008E57C0"/>
    <w:rsid w:val="008E760B"/>
    <w:rsid w:val="008F0003"/>
    <w:rsid w:val="008F1DFA"/>
    <w:rsid w:val="008F27A6"/>
    <w:rsid w:val="008F458E"/>
    <w:rsid w:val="008F4F86"/>
    <w:rsid w:val="008F5389"/>
    <w:rsid w:val="008F5487"/>
    <w:rsid w:val="008F5F1D"/>
    <w:rsid w:val="008F64D9"/>
    <w:rsid w:val="008F77B1"/>
    <w:rsid w:val="008F7BA8"/>
    <w:rsid w:val="00900442"/>
    <w:rsid w:val="009047B6"/>
    <w:rsid w:val="00904FE4"/>
    <w:rsid w:val="009075C8"/>
    <w:rsid w:val="009110FE"/>
    <w:rsid w:val="009137B3"/>
    <w:rsid w:val="00914031"/>
    <w:rsid w:val="00914D66"/>
    <w:rsid w:val="009169C0"/>
    <w:rsid w:val="00916C6D"/>
    <w:rsid w:val="0092044D"/>
    <w:rsid w:val="009240FF"/>
    <w:rsid w:val="009245E9"/>
    <w:rsid w:val="00924DFA"/>
    <w:rsid w:val="0092608B"/>
    <w:rsid w:val="00926563"/>
    <w:rsid w:val="0092723E"/>
    <w:rsid w:val="00927C2F"/>
    <w:rsid w:val="009332FD"/>
    <w:rsid w:val="00936586"/>
    <w:rsid w:val="00941866"/>
    <w:rsid w:val="00941F63"/>
    <w:rsid w:val="00942436"/>
    <w:rsid w:val="009442A2"/>
    <w:rsid w:val="00944D0D"/>
    <w:rsid w:val="00945A64"/>
    <w:rsid w:val="009471B5"/>
    <w:rsid w:val="00947A73"/>
    <w:rsid w:val="00950DD0"/>
    <w:rsid w:val="00951A14"/>
    <w:rsid w:val="009531F0"/>
    <w:rsid w:val="009537D2"/>
    <w:rsid w:val="00954B9F"/>
    <w:rsid w:val="00956418"/>
    <w:rsid w:val="00957BE0"/>
    <w:rsid w:val="00960E57"/>
    <w:rsid w:val="00965062"/>
    <w:rsid w:val="00965BC0"/>
    <w:rsid w:val="0096630F"/>
    <w:rsid w:val="009670D6"/>
    <w:rsid w:val="00967EBE"/>
    <w:rsid w:val="0097097D"/>
    <w:rsid w:val="00970B0F"/>
    <w:rsid w:val="009715FC"/>
    <w:rsid w:val="00972398"/>
    <w:rsid w:val="00973797"/>
    <w:rsid w:val="00974811"/>
    <w:rsid w:val="00974E95"/>
    <w:rsid w:val="00976C27"/>
    <w:rsid w:val="00977009"/>
    <w:rsid w:val="009825BA"/>
    <w:rsid w:val="00984217"/>
    <w:rsid w:val="00984E5E"/>
    <w:rsid w:val="00985F11"/>
    <w:rsid w:val="0098686B"/>
    <w:rsid w:val="009869E5"/>
    <w:rsid w:val="00986BE8"/>
    <w:rsid w:val="00987AB6"/>
    <w:rsid w:val="00987B45"/>
    <w:rsid w:val="00987D33"/>
    <w:rsid w:val="009900CD"/>
    <w:rsid w:val="00990732"/>
    <w:rsid w:val="00990AE7"/>
    <w:rsid w:val="00990B9C"/>
    <w:rsid w:val="00992785"/>
    <w:rsid w:val="009937EF"/>
    <w:rsid w:val="00994554"/>
    <w:rsid w:val="00994B1C"/>
    <w:rsid w:val="00996D03"/>
    <w:rsid w:val="00997D0E"/>
    <w:rsid w:val="009A163B"/>
    <w:rsid w:val="009A25F3"/>
    <w:rsid w:val="009A38C9"/>
    <w:rsid w:val="009A4821"/>
    <w:rsid w:val="009A5250"/>
    <w:rsid w:val="009A5C2C"/>
    <w:rsid w:val="009A7101"/>
    <w:rsid w:val="009A75D5"/>
    <w:rsid w:val="009B0747"/>
    <w:rsid w:val="009B0E28"/>
    <w:rsid w:val="009B1200"/>
    <w:rsid w:val="009B1510"/>
    <w:rsid w:val="009B2A07"/>
    <w:rsid w:val="009B443A"/>
    <w:rsid w:val="009B6412"/>
    <w:rsid w:val="009C062D"/>
    <w:rsid w:val="009C2556"/>
    <w:rsid w:val="009C2B83"/>
    <w:rsid w:val="009C2C38"/>
    <w:rsid w:val="009C39DB"/>
    <w:rsid w:val="009C5CA2"/>
    <w:rsid w:val="009D00D0"/>
    <w:rsid w:val="009D39DD"/>
    <w:rsid w:val="009D51E4"/>
    <w:rsid w:val="009D6B96"/>
    <w:rsid w:val="009E3853"/>
    <w:rsid w:val="009E4440"/>
    <w:rsid w:val="009E5DE3"/>
    <w:rsid w:val="009E6533"/>
    <w:rsid w:val="009E6C0F"/>
    <w:rsid w:val="009E7920"/>
    <w:rsid w:val="009F022A"/>
    <w:rsid w:val="009F17B3"/>
    <w:rsid w:val="009F4FDE"/>
    <w:rsid w:val="009F61BC"/>
    <w:rsid w:val="009F6594"/>
    <w:rsid w:val="00A01CF2"/>
    <w:rsid w:val="00A03280"/>
    <w:rsid w:val="00A034B3"/>
    <w:rsid w:val="00A03B6F"/>
    <w:rsid w:val="00A0485A"/>
    <w:rsid w:val="00A0546D"/>
    <w:rsid w:val="00A05472"/>
    <w:rsid w:val="00A057DB"/>
    <w:rsid w:val="00A06688"/>
    <w:rsid w:val="00A07F0A"/>
    <w:rsid w:val="00A15FE2"/>
    <w:rsid w:val="00A16AE4"/>
    <w:rsid w:val="00A16E6E"/>
    <w:rsid w:val="00A204D5"/>
    <w:rsid w:val="00A21269"/>
    <w:rsid w:val="00A246B7"/>
    <w:rsid w:val="00A25774"/>
    <w:rsid w:val="00A26057"/>
    <w:rsid w:val="00A308CF"/>
    <w:rsid w:val="00A32511"/>
    <w:rsid w:val="00A32EA5"/>
    <w:rsid w:val="00A33963"/>
    <w:rsid w:val="00A35F93"/>
    <w:rsid w:val="00A36C30"/>
    <w:rsid w:val="00A41204"/>
    <w:rsid w:val="00A44334"/>
    <w:rsid w:val="00A44726"/>
    <w:rsid w:val="00A4548A"/>
    <w:rsid w:val="00A46180"/>
    <w:rsid w:val="00A47D0A"/>
    <w:rsid w:val="00A51489"/>
    <w:rsid w:val="00A55783"/>
    <w:rsid w:val="00A5590C"/>
    <w:rsid w:val="00A55A44"/>
    <w:rsid w:val="00A56A4D"/>
    <w:rsid w:val="00A5770D"/>
    <w:rsid w:val="00A612A4"/>
    <w:rsid w:val="00A64C6E"/>
    <w:rsid w:val="00A66191"/>
    <w:rsid w:val="00A7136E"/>
    <w:rsid w:val="00A717CB"/>
    <w:rsid w:val="00A72E9C"/>
    <w:rsid w:val="00A73154"/>
    <w:rsid w:val="00A73744"/>
    <w:rsid w:val="00A74388"/>
    <w:rsid w:val="00A74838"/>
    <w:rsid w:val="00A752E3"/>
    <w:rsid w:val="00A772D6"/>
    <w:rsid w:val="00A80DFB"/>
    <w:rsid w:val="00A83780"/>
    <w:rsid w:val="00A84A3C"/>
    <w:rsid w:val="00A851F9"/>
    <w:rsid w:val="00A8585F"/>
    <w:rsid w:val="00A87D29"/>
    <w:rsid w:val="00A9134B"/>
    <w:rsid w:val="00A91AF7"/>
    <w:rsid w:val="00A93A41"/>
    <w:rsid w:val="00A94DC2"/>
    <w:rsid w:val="00A96E51"/>
    <w:rsid w:val="00AA066D"/>
    <w:rsid w:val="00AA0EE7"/>
    <w:rsid w:val="00AA1470"/>
    <w:rsid w:val="00AA167C"/>
    <w:rsid w:val="00AA604C"/>
    <w:rsid w:val="00AA624C"/>
    <w:rsid w:val="00AA6A04"/>
    <w:rsid w:val="00AB1BC3"/>
    <w:rsid w:val="00AB3CC8"/>
    <w:rsid w:val="00AB5B83"/>
    <w:rsid w:val="00AB5EFF"/>
    <w:rsid w:val="00AC39A3"/>
    <w:rsid w:val="00AC3BF5"/>
    <w:rsid w:val="00AC7C4E"/>
    <w:rsid w:val="00AD1BA8"/>
    <w:rsid w:val="00AD2981"/>
    <w:rsid w:val="00AD3ABE"/>
    <w:rsid w:val="00AD3C05"/>
    <w:rsid w:val="00AD591F"/>
    <w:rsid w:val="00AD5AF6"/>
    <w:rsid w:val="00AD7003"/>
    <w:rsid w:val="00AE0360"/>
    <w:rsid w:val="00AE0D98"/>
    <w:rsid w:val="00AE26F0"/>
    <w:rsid w:val="00AE325A"/>
    <w:rsid w:val="00AE376E"/>
    <w:rsid w:val="00AF0601"/>
    <w:rsid w:val="00AF104F"/>
    <w:rsid w:val="00AF13D6"/>
    <w:rsid w:val="00AF1A2B"/>
    <w:rsid w:val="00AF1A84"/>
    <w:rsid w:val="00AF1D08"/>
    <w:rsid w:val="00AF29F0"/>
    <w:rsid w:val="00AF4460"/>
    <w:rsid w:val="00AF6121"/>
    <w:rsid w:val="00AF6F47"/>
    <w:rsid w:val="00AF73E2"/>
    <w:rsid w:val="00B014AC"/>
    <w:rsid w:val="00B01AB4"/>
    <w:rsid w:val="00B02AA2"/>
    <w:rsid w:val="00B0387A"/>
    <w:rsid w:val="00B03E42"/>
    <w:rsid w:val="00B04469"/>
    <w:rsid w:val="00B0481A"/>
    <w:rsid w:val="00B05287"/>
    <w:rsid w:val="00B05D8F"/>
    <w:rsid w:val="00B05E5C"/>
    <w:rsid w:val="00B06FBF"/>
    <w:rsid w:val="00B11361"/>
    <w:rsid w:val="00B11868"/>
    <w:rsid w:val="00B131BF"/>
    <w:rsid w:val="00B13466"/>
    <w:rsid w:val="00B1413C"/>
    <w:rsid w:val="00B1441E"/>
    <w:rsid w:val="00B16369"/>
    <w:rsid w:val="00B16414"/>
    <w:rsid w:val="00B16714"/>
    <w:rsid w:val="00B169C3"/>
    <w:rsid w:val="00B17A7E"/>
    <w:rsid w:val="00B22455"/>
    <w:rsid w:val="00B2320A"/>
    <w:rsid w:val="00B241BF"/>
    <w:rsid w:val="00B27BB4"/>
    <w:rsid w:val="00B300DA"/>
    <w:rsid w:val="00B30162"/>
    <w:rsid w:val="00B30CD7"/>
    <w:rsid w:val="00B318B2"/>
    <w:rsid w:val="00B33364"/>
    <w:rsid w:val="00B336ED"/>
    <w:rsid w:val="00B34365"/>
    <w:rsid w:val="00B34C96"/>
    <w:rsid w:val="00B34EFC"/>
    <w:rsid w:val="00B352A2"/>
    <w:rsid w:val="00B361F6"/>
    <w:rsid w:val="00B36739"/>
    <w:rsid w:val="00B401AA"/>
    <w:rsid w:val="00B42AFD"/>
    <w:rsid w:val="00B43400"/>
    <w:rsid w:val="00B4351C"/>
    <w:rsid w:val="00B44219"/>
    <w:rsid w:val="00B443F6"/>
    <w:rsid w:val="00B44E17"/>
    <w:rsid w:val="00B453D0"/>
    <w:rsid w:val="00B50728"/>
    <w:rsid w:val="00B53018"/>
    <w:rsid w:val="00B53BA2"/>
    <w:rsid w:val="00B541DE"/>
    <w:rsid w:val="00B62359"/>
    <w:rsid w:val="00B62458"/>
    <w:rsid w:val="00B62DC3"/>
    <w:rsid w:val="00B63148"/>
    <w:rsid w:val="00B642A8"/>
    <w:rsid w:val="00B65FD5"/>
    <w:rsid w:val="00B666E1"/>
    <w:rsid w:val="00B71198"/>
    <w:rsid w:val="00B71DF4"/>
    <w:rsid w:val="00B7267A"/>
    <w:rsid w:val="00B76232"/>
    <w:rsid w:val="00B7636F"/>
    <w:rsid w:val="00B765E1"/>
    <w:rsid w:val="00B76D1B"/>
    <w:rsid w:val="00B771EE"/>
    <w:rsid w:val="00B77D39"/>
    <w:rsid w:val="00B8060A"/>
    <w:rsid w:val="00B80C69"/>
    <w:rsid w:val="00B8188A"/>
    <w:rsid w:val="00B81989"/>
    <w:rsid w:val="00B81E18"/>
    <w:rsid w:val="00B83D68"/>
    <w:rsid w:val="00B90777"/>
    <w:rsid w:val="00B90A69"/>
    <w:rsid w:val="00B90D88"/>
    <w:rsid w:val="00B92251"/>
    <w:rsid w:val="00B93D0D"/>
    <w:rsid w:val="00B93E25"/>
    <w:rsid w:val="00B94E28"/>
    <w:rsid w:val="00B95747"/>
    <w:rsid w:val="00B9709C"/>
    <w:rsid w:val="00B97B4E"/>
    <w:rsid w:val="00BA00F8"/>
    <w:rsid w:val="00BA0C95"/>
    <w:rsid w:val="00BA1607"/>
    <w:rsid w:val="00BA3027"/>
    <w:rsid w:val="00BA3EA8"/>
    <w:rsid w:val="00BA4D5A"/>
    <w:rsid w:val="00BA650B"/>
    <w:rsid w:val="00BA6EFE"/>
    <w:rsid w:val="00BB0E7D"/>
    <w:rsid w:val="00BB1B8C"/>
    <w:rsid w:val="00BB465D"/>
    <w:rsid w:val="00BB4C3D"/>
    <w:rsid w:val="00BB55D5"/>
    <w:rsid w:val="00BB56D1"/>
    <w:rsid w:val="00BB5D94"/>
    <w:rsid w:val="00BC1311"/>
    <w:rsid w:val="00BC134D"/>
    <w:rsid w:val="00BC307E"/>
    <w:rsid w:val="00BC37D3"/>
    <w:rsid w:val="00BC3831"/>
    <w:rsid w:val="00BC5170"/>
    <w:rsid w:val="00BC5E36"/>
    <w:rsid w:val="00BC62C1"/>
    <w:rsid w:val="00BC63D0"/>
    <w:rsid w:val="00BC72E1"/>
    <w:rsid w:val="00BD055E"/>
    <w:rsid w:val="00BD1E89"/>
    <w:rsid w:val="00BD2E40"/>
    <w:rsid w:val="00BD49E6"/>
    <w:rsid w:val="00BD6F56"/>
    <w:rsid w:val="00BE002C"/>
    <w:rsid w:val="00BE30E8"/>
    <w:rsid w:val="00BE30F3"/>
    <w:rsid w:val="00BE3653"/>
    <w:rsid w:val="00BE652D"/>
    <w:rsid w:val="00BE657E"/>
    <w:rsid w:val="00BE7F87"/>
    <w:rsid w:val="00BF102C"/>
    <w:rsid w:val="00BF3B7D"/>
    <w:rsid w:val="00BF3F75"/>
    <w:rsid w:val="00BF43A9"/>
    <w:rsid w:val="00BF48EE"/>
    <w:rsid w:val="00BF4AB6"/>
    <w:rsid w:val="00BF6860"/>
    <w:rsid w:val="00BF70D6"/>
    <w:rsid w:val="00BF765F"/>
    <w:rsid w:val="00BF7BBD"/>
    <w:rsid w:val="00BF7C64"/>
    <w:rsid w:val="00C00531"/>
    <w:rsid w:val="00C02587"/>
    <w:rsid w:val="00C02A4E"/>
    <w:rsid w:val="00C035B9"/>
    <w:rsid w:val="00C037F1"/>
    <w:rsid w:val="00C039E6"/>
    <w:rsid w:val="00C03BC7"/>
    <w:rsid w:val="00C045FF"/>
    <w:rsid w:val="00C04E09"/>
    <w:rsid w:val="00C04FBB"/>
    <w:rsid w:val="00C06C84"/>
    <w:rsid w:val="00C100FD"/>
    <w:rsid w:val="00C10D05"/>
    <w:rsid w:val="00C11C13"/>
    <w:rsid w:val="00C126C2"/>
    <w:rsid w:val="00C130C4"/>
    <w:rsid w:val="00C13E25"/>
    <w:rsid w:val="00C15F7E"/>
    <w:rsid w:val="00C1645E"/>
    <w:rsid w:val="00C16911"/>
    <w:rsid w:val="00C1754A"/>
    <w:rsid w:val="00C21545"/>
    <w:rsid w:val="00C21ACB"/>
    <w:rsid w:val="00C22E0B"/>
    <w:rsid w:val="00C22F14"/>
    <w:rsid w:val="00C23E74"/>
    <w:rsid w:val="00C2513C"/>
    <w:rsid w:val="00C25320"/>
    <w:rsid w:val="00C260A8"/>
    <w:rsid w:val="00C3011E"/>
    <w:rsid w:val="00C302CD"/>
    <w:rsid w:val="00C30A49"/>
    <w:rsid w:val="00C3284F"/>
    <w:rsid w:val="00C33D80"/>
    <w:rsid w:val="00C34E04"/>
    <w:rsid w:val="00C34E05"/>
    <w:rsid w:val="00C35111"/>
    <w:rsid w:val="00C35CF7"/>
    <w:rsid w:val="00C40867"/>
    <w:rsid w:val="00C456B8"/>
    <w:rsid w:val="00C467D9"/>
    <w:rsid w:val="00C4733A"/>
    <w:rsid w:val="00C51E88"/>
    <w:rsid w:val="00C52E7E"/>
    <w:rsid w:val="00C54125"/>
    <w:rsid w:val="00C55234"/>
    <w:rsid w:val="00C60267"/>
    <w:rsid w:val="00C6208B"/>
    <w:rsid w:val="00C6332F"/>
    <w:rsid w:val="00C639BD"/>
    <w:rsid w:val="00C63B49"/>
    <w:rsid w:val="00C65A8C"/>
    <w:rsid w:val="00C67EFB"/>
    <w:rsid w:val="00C72755"/>
    <w:rsid w:val="00C7285A"/>
    <w:rsid w:val="00C72E14"/>
    <w:rsid w:val="00C73AE6"/>
    <w:rsid w:val="00C73DA2"/>
    <w:rsid w:val="00C818E2"/>
    <w:rsid w:val="00C827E7"/>
    <w:rsid w:val="00C85595"/>
    <w:rsid w:val="00C8626E"/>
    <w:rsid w:val="00C86FF3"/>
    <w:rsid w:val="00C9075D"/>
    <w:rsid w:val="00C91275"/>
    <w:rsid w:val="00C93421"/>
    <w:rsid w:val="00C93556"/>
    <w:rsid w:val="00C93C55"/>
    <w:rsid w:val="00C94E15"/>
    <w:rsid w:val="00C95266"/>
    <w:rsid w:val="00C9615C"/>
    <w:rsid w:val="00C9647A"/>
    <w:rsid w:val="00C97CED"/>
    <w:rsid w:val="00CA11E4"/>
    <w:rsid w:val="00CA1234"/>
    <w:rsid w:val="00CA484F"/>
    <w:rsid w:val="00CA6301"/>
    <w:rsid w:val="00CA6FA9"/>
    <w:rsid w:val="00CA7A03"/>
    <w:rsid w:val="00CB0B64"/>
    <w:rsid w:val="00CB4F37"/>
    <w:rsid w:val="00CB53A4"/>
    <w:rsid w:val="00CB6885"/>
    <w:rsid w:val="00CBA8BB"/>
    <w:rsid w:val="00CC08DC"/>
    <w:rsid w:val="00CC0972"/>
    <w:rsid w:val="00CC1447"/>
    <w:rsid w:val="00CC29BA"/>
    <w:rsid w:val="00CC4A6D"/>
    <w:rsid w:val="00CC5056"/>
    <w:rsid w:val="00CC66C7"/>
    <w:rsid w:val="00CD04DE"/>
    <w:rsid w:val="00CD19E5"/>
    <w:rsid w:val="00CD2474"/>
    <w:rsid w:val="00CD3546"/>
    <w:rsid w:val="00CD4AE1"/>
    <w:rsid w:val="00CD4F90"/>
    <w:rsid w:val="00CE17D4"/>
    <w:rsid w:val="00CE299C"/>
    <w:rsid w:val="00CE739F"/>
    <w:rsid w:val="00CF079D"/>
    <w:rsid w:val="00CF1101"/>
    <w:rsid w:val="00CF1D68"/>
    <w:rsid w:val="00CF247F"/>
    <w:rsid w:val="00CF2809"/>
    <w:rsid w:val="00CF3B6E"/>
    <w:rsid w:val="00CF5227"/>
    <w:rsid w:val="00CF5FA2"/>
    <w:rsid w:val="00CF627A"/>
    <w:rsid w:val="00CF6E13"/>
    <w:rsid w:val="00CF726A"/>
    <w:rsid w:val="00D00932"/>
    <w:rsid w:val="00D01E35"/>
    <w:rsid w:val="00D02E45"/>
    <w:rsid w:val="00D03629"/>
    <w:rsid w:val="00D04709"/>
    <w:rsid w:val="00D06A1E"/>
    <w:rsid w:val="00D0726A"/>
    <w:rsid w:val="00D07E07"/>
    <w:rsid w:val="00D10E34"/>
    <w:rsid w:val="00D1243C"/>
    <w:rsid w:val="00D128BA"/>
    <w:rsid w:val="00D145D0"/>
    <w:rsid w:val="00D14937"/>
    <w:rsid w:val="00D164FD"/>
    <w:rsid w:val="00D16970"/>
    <w:rsid w:val="00D16BDF"/>
    <w:rsid w:val="00D16EC8"/>
    <w:rsid w:val="00D16F2B"/>
    <w:rsid w:val="00D17C59"/>
    <w:rsid w:val="00D21023"/>
    <w:rsid w:val="00D2145D"/>
    <w:rsid w:val="00D221F6"/>
    <w:rsid w:val="00D22B05"/>
    <w:rsid w:val="00D237E8"/>
    <w:rsid w:val="00D23ED8"/>
    <w:rsid w:val="00D2418E"/>
    <w:rsid w:val="00D24868"/>
    <w:rsid w:val="00D24D82"/>
    <w:rsid w:val="00D26278"/>
    <w:rsid w:val="00D26780"/>
    <w:rsid w:val="00D26B66"/>
    <w:rsid w:val="00D277A6"/>
    <w:rsid w:val="00D278DA"/>
    <w:rsid w:val="00D32AB7"/>
    <w:rsid w:val="00D3314C"/>
    <w:rsid w:val="00D33ACD"/>
    <w:rsid w:val="00D33B11"/>
    <w:rsid w:val="00D34A36"/>
    <w:rsid w:val="00D3605B"/>
    <w:rsid w:val="00D360A0"/>
    <w:rsid w:val="00D3705D"/>
    <w:rsid w:val="00D40897"/>
    <w:rsid w:val="00D40B6D"/>
    <w:rsid w:val="00D41C1A"/>
    <w:rsid w:val="00D41F46"/>
    <w:rsid w:val="00D42FC2"/>
    <w:rsid w:val="00D447F5"/>
    <w:rsid w:val="00D45933"/>
    <w:rsid w:val="00D46527"/>
    <w:rsid w:val="00D47486"/>
    <w:rsid w:val="00D47624"/>
    <w:rsid w:val="00D47B97"/>
    <w:rsid w:val="00D52AAE"/>
    <w:rsid w:val="00D53F64"/>
    <w:rsid w:val="00D55EAE"/>
    <w:rsid w:val="00D56AED"/>
    <w:rsid w:val="00D573CD"/>
    <w:rsid w:val="00D57774"/>
    <w:rsid w:val="00D6208F"/>
    <w:rsid w:val="00D6236E"/>
    <w:rsid w:val="00D63286"/>
    <w:rsid w:val="00D64A00"/>
    <w:rsid w:val="00D70684"/>
    <w:rsid w:val="00D732C8"/>
    <w:rsid w:val="00D73377"/>
    <w:rsid w:val="00D73B12"/>
    <w:rsid w:val="00D82F23"/>
    <w:rsid w:val="00D853E5"/>
    <w:rsid w:val="00D856A4"/>
    <w:rsid w:val="00D8632D"/>
    <w:rsid w:val="00D8644F"/>
    <w:rsid w:val="00D87EA3"/>
    <w:rsid w:val="00D903B9"/>
    <w:rsid w:val="00D94163"/>
    <w:rsid w:val="00D947A9"/>
    <w:rsid w:val="00D969E6"/>
    <w:rsid w:val="00D97600"/>
    <w:rsid w:val="00DA047B"/>
    <w:rsid w:val="00DA1EE0"/>
    <w:rsid w:val="00DA372C"/>
    <w:rsid w:val="00DA397E"/>
    <w:rsid w:val="00DA544D"/>
    <w:rsid w:val="00DA5E41"/>
    <w:rsid w:val="00DA7589"/>
    <w:rsid w:val="00DB07A1"/>
    <w:rsid w:val="00DB10FE"/>
    <w:rsid w:val="00DB224A"/>
    <w:rsid w:val="00DB2300"/>
    <w:rsid w:val="00DB2D5F"/>
    <w:rsid w:val="00DB7BE0"/>
    <w:rsid w:val="00DC0154"/>
    <w:rsid w:val="00DC2822"/>
    <w:rsid w:val="00DC2B62"/>
    <w:rsid w:val="00DC3C09"/>
    <w:rsid w:val="00DC4AE6"/>
    <w:rsid w:val="00DC4E7D"/>
    <w:rsid w:val="00DC6EB8"/>
    <w:rsid w:val="00DC70D1"/>
    <w:rsid w:val="00DD0C24"/>
    <w:rsid w:val="00DD121E"/>
    <w:rsid w:val="00DD16C5"/>
    <w:rsid w:val="00DD374D"/>
    <w:rsid w:val="00DD3A09"/>
    <w:rsid w:val="00DD3F3A"/>
    <w:rsid w:val="00DD41E0"/>
    <w:rsid w:val="00DD4999"/>
    <w:rsid w:val="00DD53E8"/>
    <w:rsid w:val="00DD590E"/>
    <w:rsid w:val="00DD5D93"/>
    <w:rsid w:val="00DE0FBF"/>
    <w:rsid w:val="00DE14B0"/>
    <w:rsid w:val="00DE156B"/>
    <w:rsid w:val="00DE2E9E"/>
    <w:rsid w:val="00DE3384"/>
    <w:rsid w:val="00DE52A6"/>
    <w:rsid w:val="00DF0870"/>
    <w:rsid w:val="00DF09E5"/>
    <w:rsid w:val="00DF190F"/>
    <w:rsid w:val="00DF2BC9"/>
    <w:rsid w:val="00DF45C5"/>
    <w:rsid w:val="00DF5215"/>
    <w:rsid w:val="00DF54B9"/>
    <w:rsid w:val="00DF5DFD"/>
    <w:rsid w:val="00DF6B6B"/>
    <w:rsid w:val="00DF7603"/>
    <w:rsid w:val="00DF7AF5"/>
    <w:rsid w:val="00E00193"/>
    <w:rsid w:val="00E02AD7"/>
    <w:rsid w:val="00E02E66"/>
    <w:rsid w:val="00E03A2E"/>
    <w:rsid w:val="00E051D7"/>
    <w:rsid w:val="00E10CFE"/>
    <w:rsid w:val="00E1268B"/>
    <w:rsid w:val="00E12822"/>
    <w:rsid w:val="00E13688"/>
    <w:rsid w:val="00E13F92"/>
    <w:rsid w:val="00E14535"/>
    <w:rsid w:val="00E145B0"/>
    <w:rsid w:val="00E1479D"/>
    <w:rsid w:val="00E14A15"/>
    <w:rsid w:val="00E15F12"/>
    <w:rsid w:val="00E166A4"/>
    <w:rsid w:val="00E2126D"/>
    <w:rsid w:val="00E221C1"/>
    <w:rsid w:val="00E22C01"/>
    <w:rsid w:val="00E240BF"/>
    <w:rsid w:val="00E256B7"/>
    <w:rsid w:val="00E271C3"/>
    <w:rsid w:val="00E27C09"/>
    <w:rsid w:val="00E27E4D"/>
    <w:rsid w:val="00E30FD3"/>
    <w:rsid w:val="00E31256"/>
    <w:rsid w:val="00E3223D"/>
    <w:rsid w:val="00E328A6"/>
    <w:rsid w:val="00E344BE"/>
    <w:rsid w:val="00E35C63"/>
    <w:rsid w:val="00E36A93"/>
    <w:rsid w:val="00E37343"/>
    <w:rsid w:val="00E375E0"/>
    <w:rsid w:val="00E378DC"/>
    <w:rsid w:val="00E405CF"/>
    <w:rsid w:val="00E412C7"/>
    <w:rsid w:val="00E4276B"/>
    <w:rsid w:val="00E431C5"/>
    <w:rsid w:val="00E43E80"/>
    <w:rsid w:val="00E44BD0"/>
    <w:rsid w:val="00E4540F"/>
    <w:rsid w:val="00E4643F"/>
    <w:rsid w:val="00E466E7"/>
    <w:rsid w:val="00E4732A"/>
    <w:rsid w:val="00E5037E"/>
    <w:rsid w:val="00E50B26"/>
    <w:rsid w:val="00E534B2"/>
    <w:rsid w:val="00E5391E"/>
    <w:rsid w:val="00E53AF3"/>
    <w:rsid w:val="00E54EC2"/>
    <w:rsid w:val="00E55B51"/>
    <w:rsid w:val="00E55FEA"/>
    <w:rsid w:val="00E56CC1"/>
    <w:rsid w:val="00E57BD5"/>
    <w:rsid w:val="00E61A89"/>
    <w:rsid w:val="00E62655"/>
    <w:rsid w:val="00E62E90"/>
    <w:rsid w:val="00E657A1"/>
    <w:rsid w:val="00E6678D"/>
    <w:rsid w:val="00E67821"/>
    <w:rsid w:val="00E67F32"/>
    <w:rsid w:val="00E67F7A"/>
    <w:rsid w:val="00E71721"/>
    <w:rsid w:val="00E729E6"/>
    <w:rsid w:val="00E72E6F"/>
    <w:rsid w:val="00E72F51"/>
    <w:rsid w:val="00E734C7"/>
    <w:rsid w:val="00E73628"/>
    <w:rsid w:val="00E738E5"/>
    <w:rsid w:val="00E73CE4"/>
    <w:rsid w:val="00E7665B"/>
    <w:rsid w:val="00E76B86"/>
    <w:rsid w:val="00E76F67"/>
    <w:rsid w:val="00E77E7C"/>
    <w:rsid w:val="00E77F27"/>
    <w:rsid w:val="00E80BD9"/>
    <w:rsid w:val="00E819DD"/>
    <w:rsid w:val="00E823BF"/>
    <w:rsid w:val="00E8283B"/>
    <w:rsid w:val="00E82BC9"/>
    <w:rsid w:val="00E83260"/>
    <w:rsid w:val="00E8396A"/>
    <w:rsid w:val="00E84049"/>
    <w:rsid w:val="00E857F4"/>
    <w:rsid w:val="00E87A37"/>
    <w:rsid w:val="00E87EC3"/>
    <w:rsid w:val="00E900B6"/>
    <w:rsid w:val="00E9051C"/>
    <w:rsid w:val="00E914F9"/>
    <w:rsid w:val="00E934DA"/>
    <w:rsid w:val="00E9660E"/>
    <w:rsid w:val="00E97123"/>
    <w:rsid w:val="00E9723C"/>
    <w:rsid w:val="00E97442"/>
    <w:rsid w:val="00EA0219"/>
    <w:rsid w:val="00EA1C97"/>
    <w:rsid w:val="00EA3B4F"/>
    <w:rsid w:val="00EA563F"/>
    <w:rsid w:val="00EA63A9"/>
    <w:rsid w:val="00EA7A91"/>
    <w:rsid w:val="00EA7DA5"/>
    <w:rsid w:val="00EB01B5"/>
    <w:rsid w:val="00EB03B0"/>
    <w:rsid w:val="00EB0409"/>
    <w:rsid w:val="00EB14AF"/>
    <w:rsid w:val="00EB1553"/>
    <w:rsid w:val="00EB3FFB"/>
    <w:rsid w:val="00EB5224"/>
    <w:rsid w:val="00EB5E3F"/>
    <w:rsid w:val="00EB6F61"/>
    <w:rsid w:val="00EC1206"/>
    <w:rsid w:val="00EC1948"/>
    <w:rsid w:val="00EC1BC1"/>
    <w:rsid w:val="00EC30AB"/>
    <w:rsid w:val="00EC315E"/>
    <w:rsid w:val="00EC4E21"/>
    <w:rsid w:val="00EC53D5"/>
    <w:rsid w:val="00EC55B6"/>
    <w:rsid w:val="00EC737B"/>
    <w:rsid w:val="00EC79DE"/>
    <w:rsid w:val="00ED2729"/>
    <w:rsid w:val="00ED2D80"/>
    <w:rsid w:val="00ED3278"/>
    <w:rsid w:val="00ED5681"/>
    <w:rsid w:val="00EE0D11"/>
    <w:rsid w:val="00EE0D1D"/>
    <w:rsid w:val="00EE148C"/>
    <w:rsid w:val="00EE2F74"/>
    <w:rsid w:val="00EE4606"/>
    <w:rsid w:val="00EE53CC"/>
    <w:rsid w:val="00EE61FB"/>
    <w:rsid w:val="00EE7846"/>
    <w:rsid w:val="00EF05F7"/>
    <w:rsid w:val="00EF0D8D"/>
    <w:rsid w:val="00EF1E8D"/>
    <w:rsid w:val="00EF20EF"/>
    <w:rsid w:val="00EF2743"/>
    <w:rsid w:val="00EF2859"/>
    <w:rsid w:val="00EF3207"/>
    <w:rsid w:val="00EF400A"/>
    <w:rsid w:val="00EF4101"/>
    <w:rsid w:val="00EF4201"/>
    <w:rsid w:val="00EF4E0C"/>
    <w:rsid w:val="00EF5719"/>
    <w:rsid w:val="00EF5948"/>
    <w:rsid w:val="00EF618D"/>
    <w:rsid w:val="00EF68D7"/>
    <w:rsid w:val="00EF74D7"/>
    <w:rsid w:val="00EF75B2"/>
    <w:rsid w:val="00EF7904"/>
    <w:rsid w:val="00F007EC"/>
    <w:rsid w:val="00F00AD5"/>
    <w:rsid w:val="00F01766"/>
    <w:rsid w:val="00F0432C"/>
    <w:rsid w:val="00F04B29"/>
    <w:rsid w:val="00F052CB"/>
    <w:rsid w:val="00F05D39"/>
    <w:rsid w:val="00F06739"/>
    <w:rsid w:val="00F07C72"/>
    <w:rsid w:val="00F11114"/>
    <w:rsid w:val="00F11433"/>
    <w:rsid w:val="00F11C71"/>
    <w:rsid w:val="00F11D41"/>
    <w:rsid w:val="00F12102"/>
    <w:rsid w:val="00F14F04"/>
    <w:rsid w:val="00F20B42"/>
    <w:rsid w:val="00F21DA9"/>
    <w:rsid w:val="00F24EAD"/>
    <w:rsid w:val="00F25222"/>
    <w:rsid w:val="00F27373"/>
    <w:rsid w:val="00F309E4"/>
    <w:rsid w:val="00F31A3F"/>
    <w:rsid w:val="00F34F65"/>
    <w:rsid w:val="00F3642F"/>
    <w:rsid w:val="00F40714"/>
    <w:rsid w:val="00F41087"/>
    <w:rsid w:val="00F41257"/>
    <w:rsid w:val="00F44FF9"/>
    <w:rsid w:val="00F460EB"/>
    <w:rsid w:val="00F46B11"/>
    <w:rsid w:val="00F46B3A"/>
    <w:rsid w:val="00F5071C"/>
    <w:rsid w:val="00F5166D"/>
    <w:rsid w:val="00F51E5B"/>
    <w:rsid w:val="00F51EDF"/>
    <w:rsid w:val="00F53B05"/>
    <w:rsid w:val="00F545FB"/>
    <w:rsid w:val="00F54D5C"/>
    <w:rsid w:val="00F57333"/>
    <w:rsid w:val="00F5740E"/>
    <w:rsid w:val="00F605D6"/>
    <w:rsid w:val="00F60872"/>
    <w:rsid w:val="00F617EB"/>
    <w:rsid w:val="00F61B31"/>
    <w:rsid w:val="00F620C9"/>
    <w:rsid w:val="00F633CE"/>
    <w:rsid w:val="00F639EB"/>
    <w:rsid w:val="00F64EF1"/>
    <w:rsid w:val="00F65D1C"/>
    <w:rsid w:val="00F71BEC"/>
    <w:rsid w:val="00F72458"/>
    <w:rsid w:val="00F7294C"/>
    <w:rsid w:val="00F73530"/>
    <w:rsid w:val="00F807CA"/>
    <w:rsid w:val="00F830EE"/>
    <w:rsid w:val="00F841EC"/>
    <w:rsid w:val="00F8435B"/>
    <w:rsid w:val="00F84BDE"/>
    <w:rsid w:val="00F87159"/>
    <w:rsid w:val="00F877B5"/>
    <w:rsid w:val="00F87A66"/>
    <w:rsid w:val="00F91D18"/>
    <w:rsid w:val="00F91D42"/>
    <w:rsid w:val="00F923B3"/>
    <w:rsid w:val="00FA05A1"/>
    <w:rsid w:val="00FA0BE2"/>
    <w:rsid w:val="00FA0FAB"/>
    <w:rsid w:val="00FA2D9B"/>
    <w:rsid w:val="00FA304B"/>
    <w:rsid w:val="00FA3525"/>
    <w:rsid w:val="00FA5182"/>
    <w:rsid w:val="00FB0B98"/>
    <w:rsid w:val="00FB20C9"/>
    <w:rsid w:val="00FB2A65"/>
    <w:rsid w:val="00FB3236"/>
    <w:rsid w:val="00FB3771"/>
    <w:rsid w:val="00FB4DFC"/>
    <w:rsid w:val="00FB50A9"/>
    <w:rsid w:val="00FB65A4"/>
    <w:rsid w:val="00FB68CC"/>
    <w:rsid w:val="00FC3EC9"/>
    <w:rsid w:val="00FD0016"/>
    <w:rsid w:val="00FD21F8"/>
    <w:rsid w:val="00FD227B"/>
    <w:rsid w:val="00FD456A"/>
    <w:rsid w:val="00FD4A6E"/>
    <w:rsid w:val="00FD5AA5"/>
    <w:rsid w:val="00FD65C0"/>
    <w:rsid w:val="00FE02A1"/>
    <w:rsid w:val="00FE1784"/>
    <w:rsid w:val="00FE2580"/>
    <w:rsid w:val="00FE331D"/>
    <w:rsid w:val="00FE4191"/>
    <w:rsid w:val="00FE48F9"/>
    <w:rsid w:val="00FE4F87"/>
    <w:rsid w:val="00FE64C0"/>
    <w:rsid w:val="00FE6715"/>
    <w:rsid w:val="00FE756F"/>
    <w:rsid w:val="00FF0B92"/>
    <w:rsid w:val="00FF1F85"/>
    <w:rsid w:val="00FF2551"/>
    <w:rsid w:val="00FF32A1"/>
    <w:rsid w:val="00FF4CD9"/>
    <w:rsid w:val="00FF5A29"/>
    <w:rsid w:val="00FF5F33"/>
    <w:rsid w:val="00FF71E0"/>
    <w:rsid w:val="00FF756A"/>
    <w:rsid w:val="00FF7868"/>
    <w:rsid w:val="01000748"/>
    <w:rsid w:val="014F7CF4"/>
    <w:rsid w:val="01626C04"/>
    <w:rsid w:val="01D02198"/>
    <w:rsid w:val="021B5321"/>
    <w:rsid w:val="0223110B"/>
    <w:rsid w:val="02783771"/>
    <w:rsid w:val="02926EDD"/>
    <w:rsid w:val="02D00D71"/>
    <w:rsid w:val="03193138"/>
    <w:rsid w:val="046C633C"/>
    <w:rsid w:val="049282BA"/>
    <w:rsid w:val="0499395F"/>
    <w:rsid w:val="0552062F"/>
    <w:rsid w:val="05937E42"/>
    <w:rsid w:val="05AF19FF"/>
    <w:rsid w:val="060A2D8E"/>
    <w:rsid w:val="067C420A"/>
    <w:rsid w:val="06C7560E"/>
    <w:rsid w:val="07178000"/>
    <w:rsid w:val="078B24C0"/>
    <w:rsid w:val="083D11CA"/>
    <w:rsid w:val="085BE636"/>
    <w:rsid w:val="08D83C6E"/>
    <w:rsid w:val="09B6DBF1"/>
    <w:rsid w:val="0A15E635"/>
    <w:rsid w:val="0A2540A4"/>
    <w:rsid w:val="0A583C5E"/>
    <w:rsid w:val="0A7A1D8B"/>
    <w:rsid w:val="0AE72C93"/>
    <w:rsid w:val="0AFD0DE9"/>
    <w:rsid w:val="0B25B709"/>
    <w:rsid w:val="0BC652BE"/>
    <w:rsid w:val="0BD572AB"/>
    <w:rsid w:val="0C8851D3"/>
    <w:rsid w:val="0CB0C856"/>
    <w:rsid w:val="0CC7718C"/>
    <w:rsid w:val="0CD53D19"/>
    <w:rsid w:val="0D3C3DC4"/>
    <w:rsid w:val="0D5955BB"/>
    <w:rsid w:val="0DF6724F"/>
    <w:rsid w:val="0E455EF3"/>
    <w:rsid w:val="0EC1E2EA"/>
    <w:rsid w:val="0F0768CC"/>
    <w:rsid w:val="0F1AD1FA"/>
    <w:rsid w:val="0F3B2070"/>
    <w:rsid w:val="0F3BA219"/>
    <w:rsid w:val="0FD975BB"/>
    <w:rsid w:val="0FDA0FAF"/>
    <w:rsid w:val="0FE8F6E0"/>
    <w:rsid w:val="10052B19"/>
    <w:rsid w:val="103B255D"/>
    <w:rsid w:val="10CE7107"/>
    <w:rsid w:val="1150ECE3"/>
    <w:rsid w:val="11BF14EE"/>
    <w:rsid w:val="11DC0EB6"/>
    <w:rsid w:val="11F10866"/>
    <w:rsid w:val="12556038"/>
    <w:rsid w:val="128A02F3"/>
    <w:rsid w:val="12CD1631"/>
    <w:rsid w:val="12F06AE7"/>
    <w:rsid w:val="1311EFDA"/>
    <w:rsid w:val="13290EE9"/>
    <w:rsid w:val="13FF53D2"/>
    <w:rsid w:val="149D532A"/>
    <w:rsid w:val="14A171B0"/>
    <w:rsid w:val="14BCE334"/>
    <w:rsid w:val="14DB52CC"/>
    <w:rsid w:val="14EE3EA6"/>
    <w:rsid w:val="150313CC"/>
    <w:rsid w:val="152D0E4A"/>
    <w:rsid w:val="15954377"/>
    <w:rsid w:val="15B75FD0"/>
    <w:rsid w:val="16461C2B"/>
    <w:rsid w:val="16C5FC12"/>
    <w:rsid w:val="16D80E4D"/>
    <w:rsid w:val="16FB6B01"/>
    <w:rsid w:val="17080E78"/>
    <w:rsid w:val="170E09D7"/>
    <w:rsid w:val="171E171B"/>
    <w:rsid w:val="17266DB9"/>
    <w:rsid w:val="173D563B"/>
    <w:rsid w:val="17570A9D"/>
    <w:rsid w:val="17B96D83"/>
    <w:rsid w:val="17E74599"/>
    <w:rsid w:val="180003C1"/>
    <w:rsid w:val="18266979"/>
    <w:rsid w:val="18D19BAB"/>
    <w:rsid w:val="1906B066"/>
    <w:rsid w:val="19AA11C8"/>
    <w:rsid w:val="19D317DC"/>
    <w:rsid w:val="1A0013B9"/>
    <w:rsid w:val="1A135AD3"/>
    <w:rsid w:val="1A255B58"/>
    <w:rsid w:val="1A2D4976"/>
    <w:rsid w:val="1ABF69B6"/>
    <w:rsid w:val="1B100D94"/>
    <w:rsid w:val="1BA40064"/>
    <w:rsid w:val="1BC22EEF"/>
    <w:rsid w:val="1C792CCF"/>
    <w:rsid w:val="1C9E9A70"/>
    <w:rsid w:val="1CCDDEB9"/>
    <w:rsid w:val="1CEBBC3B"/>
    <w:rsid w:val="1DBB2BB3"/>
    <w:rsid w:val="1E27B3BF"/>
    <w:rsid w:val="1EC09D29"/>
    <w:rsid w:val="1F485C6B"/>
    <w:rsid w:val="1FBE640C"/>
    <w:rsid w:val="1FD22914"/>
    <w:rsid w:val="1FE27395"/>
    <w:rsid w:val="1FF905CA"/>
    <w:rsid w:val="20A7354C"/>
    <w:rsid w:val="210B5969"/>
    <w:rsid w:val="211C28E4"/>
    <w:rsid w:val="2152178C"/>
    <w:rsid w:val="2191BD15"/>
    <w:rsid w:val="21FAE2FC"/>
    <w:rsid w:val="226B7742"/>
    <w:rsid w:val="226CC27F"/>
    <w:rsid w:val="226D0375"/>
    <w:rsid w:val="22E70218"/>
    <w:rsid w:val="234A5C37"/>
    <w:rsid w:val="23D6FBBD"/>
    <w:rsid w:val="23DC5F5D"/>
    <w:rsid w:val="240767B9"/>
    <w:rsid w:val="246142B7"/>
    <w:rsid w:val="24915AF2"/>
    <w:rsid w:val="24A97AFC"/>
    <w:rsid w:val="24B165EE"/>
    <w:rsid w:val="24DD4782"/>
    <w:rsid w:val="258306BF"/>
    <w:rsid w:val="25E14B1C"/>
    <w:rsid w:val="25F14299"/>
    <w:rsid w:val="262189B7"/>
    <w:rsid w:val="264547AA"/>
    <w:rsid w:val="274D51A7"/>
    <w:rsid w:val="27D87753"/>
    <w:rsid w:val="283066DB"/>
    <w:rsid w:val="28550AAA"/>
    <w:rsid w:val="289CFCCF"/>
    <w:rsid w:val="28A86EFD"/>
    <w:rsid w:val="28B6662B"/>
    <w:rsid w:val="28B94503"/>
    <w:rsid w:val="297B775C"/>
    <w:rsid w:val="2996359E"/>
    <w:rsid w:val="29E37CB0"/>
    <w:rsid w:val="29E856A5"/>
    <w:rsid w:val="2A2D866A"/>
    <w:rsid w:val="2A8B5D6B"/>
    <w:rsid w:val="2AAB341F"/>
    <w:rsid w:val="2ABE46FF"/>
    <w:rsid w:val="2B001B28"/>
    <w:rsid w:val="2BBFA5AB"/>
    <w:rsid w:val="2C4E4F9E"/>
    <w:rsid w:val="2C7D4278"/>
    <w:rsid w:val="2CA91E7C"/>
    <w:rsid w:val="2CE38929"/>
    <w:rsid w:val="2D14509E"/>
    <w:rsid w:val="2D1E14FE"/>
    <w:rsid w:val="2D945C72"/>
    <w:rsid w:val="2DCE29F8"/>
    <w:rsid w:val="2E501244"/>
    <w:rsid w:val="2E50EBD0"/>
    <w:rsid w:val="2E5F5159"/>
    <w:rsid w:val="2EA63495"/>
    <w:rsid w:val="2EE93235"/>
    <w:rsid w:val="2EF6B6CA"/>
    <w:rsid w:val="2F0174DB"/>
    <w:rsid w:val="2F40B8DD"/>
    <w:rsid w:val="2F90748F"/>
    <w:rsid w:val="2FA837E3"/>
    <w:rsid w:val="305A4545"/>
    <w:rsid w:val="307340FC"/>
    <w:rsid w:val="30E02B35"/>
    <w:rsid w:val="313E0823"/>
    <w:rsid w:val="31482A82"/>
    <w:rsid w:val="31B7156C"/>
    <w:rsid w:val="3205125F"/>
    <w:rsid w:val="32076C91"/>
    <w:rsid w:val="32245769"/>
    <w:rsid w:val="3238FF26"/>
    <w:rsid w:val="3284345F"/>
    <w:rsid w:val="32920BD0"/>
    <w:rsid w:val="32A0463D"/>
    <w:rsid w:val="32A36EF5"/>
    <w:rsid w:val="32EAD7D5"/>
    <w:rsid w:val="32F75069"/>
    <w:rsid w:val="3346CC92"/>
    <w:rsid w:val="336C2FCF"/>
    <w:rsid w:val="33741626"/>
    <w:rsid w:val="33C764DD"/>
    <w:rsid w:val="33F0BFFC"/>
    <w:rsid w:val="33F567F9"/>
    <w:rsid w:val="341F406A"/>
    <w:rsid w:val="34524C9A"/>
    <w:rsid w:val="34A04701"/>
    <w:rsid w:val="34BB6E2B"/>
    <w:rsid w:val="35197150"/>
    <w:rsid w:val="355515BE"/>
    <w:rsid w:val="35E24811"/>
    <w:rsid w:val="36237F58"/>
    <w:rsid w:val="368360DD"/>
    <w:rsid w:val="36DC2F1C"/>
    <w:rsid w:val="36E6A134"/>
    <w:rsid w:val="372202AB"/>
    <w:rsid w:val="37CD3840"/>
    <w:rsid w:val="3804A5CB"/>
    <w:rsid w:val="38648F56"/>
    <w:rsid w:val="389816BC"/>
    <w:rsid w:val="38C42826"/>
    <w:rsid w:val="38F014B8"/>
    <w:rsid w:val="38F33413"/>
    <w:rsid w:val="3937176C"/>
    <w:rsid w:val="39541737"/>
    <w:rsid w:val="3968533E"/>
    <w:rsid w:val="39A36974"/>
    <w:rsid w:val="3A3571AE"/>
    <w:rsid w:val="3A9B1035"/>
    <w:rsid w:val="3AAA3F21"/>
    <w:rsid w:val="3B0BE100"/>
    <w:rsid w:val="3B784281"/>
    <w:rsid w:val="3BECE58C"/>
    <w:rsid w:val="3C7FA563"/>
    <w:rsid w:val="3CF11992"/>
    <w:rsid w:val="3DB02A7B"/>
    <w:rsid w:val="3DBC13A2"/>
    <w:rsid w:val="3DE417D8"/>
    <w:rsid w:val="3DE42A6E"/>
    <w:rsid w:val="3DE5407C"/>
    <w:rsid w:val="3E7F6790"/>
    <w:rsid w:val="3EE62395"/>
    <w:rsid w:val="3EEF6D25"/>
    <w:rsid w:val="3F256899"/>
    <w:rsid w:val="3F5B06A9"/>
    <w:rsid w:val="3F692B7A"/>
    <w:rsid w:val="3FB6362D"/>
    <w:rsid w:val="3FBF6617"/>
    <w:rsid w:val="4014BAA9"/>
    <w:rsid w:val="406541D9"/>
    <w:rsid w:val="420B2418"/>
    <w:rsid w:val="4256950B"/>
    <w:rsid w:val="428025DA"/>
    <w:rsid w:val="42962497"/>
    <w:rsid w:val="42A95D67"/>
    <w:rsid w:val="42EC19E3"/>
    <w:rsid w:val="43557BFF"/>
    <w:rsid w:val="4372094D"/>
    <w:rsid w:val="44454E6E"/>
    <w:rsid w:val="44993FC0"/>
    <w:rsid w:val="44FF452C"/>
    <w:rsid w:val="4530F7C8"/>
    <w:rsid w:val="454B80F6"/>
    <w:rsid w:val="45E88903"/>
    <w:rsid w:val="46EE26F7"/>
    <w:rsid w:val="4776607A"/>
    <w:rsid w:val="477C7FA9"/>
    <w:rsid w:val="47B9BEA8"/>
    <w:rsid w:val="47DC2904"/>
    <w:rsid w:val="47FEA2C5"/>
    <w:rsid w:val="486121FA"/>
    <w:rsid w:val="4899D084"/>
    <w:rsid w:val="489C68D4"/>
    <w:rsid w:val="49354150"/>
    <w:rsid w:val="49669AB3"/>
    <w:rsid w:val="49C30C33"/>
    <w:rsid w:val="4A4F76C6"/>
    <w:rsid w:val="4A77C1BF"/>
    <w:rsid w:val="4A90863D"/>
    <w:rsid w:val="4A970470"/>
    <w:rsid w:val="4AC80EBE"/>
    <w:rsid w:val="4AD7F995"/>
    <w:rsid w:val="4B473D7B"/>
    <w:rsid w:val="4B6A42FB"/>
    <w:rsid w:val="4BC03867"/>
    <w:rsid w:val="4C22B589"/>
    <w:rsid w:val="4C47CD58"/>
    <w:rsid w:val="4C9F525D"/>
    <w:rsid w:val="4CFC5AB1"/>
    <w:rsid w:val="4D54B539"/>
    <w:rsid w:val="4D8B79D0"/>
    <w:rsid w:val="4DCD9E07"/>
    <w:rsid w:val="4E059C4A"/>
    <w:rsid w:val="4E263C3F"/>
    <w:rsid w:val="4E29118E"/>
    <w:rsid w:val="4E481B7F"/>
    <w:rsid w:val="4E815AA9"/>
    <w:rsid w:val="4F0A2A1D"/>
    <w:rsid w:val="4F252B19"/>
    <w:rsid w:val="4F5E8ECB"/>
    <w:rsid w:val="4F9F6605"/>
    <w:rsid w:val="505E3B25"/>
    <w:rsid w:val="509FD3FD"/>
    <w:rsid w:val="50A92AA6"/>
    <w:rsid w:val="50B12029"/>
    <w:rsid w:val="50B2525A"/>
    <w:rsid w:val="50C26805"/>
    <w:rsid w:val="50D156FB"/>
    <w:rsid w:val="50F4E8FA"/>
    <w:rsid w:val="51399E05"/>
    <w:rsid w:val="51ECCE9D"/>
    <w:rsid w:val="52361747"/>
    <w:rsid w:val="52C1536E"/>
    <w:rsid w:val="52DBF136"/>
    <w:rsid w:val="52F20777"/>
    <w:rsid w:val="53BC32C6"/>
    <w:rsid w:val="54206EAB"/>
    <w:rsid w:val="54782B3F"/>
    <w:rsid w:val="549324B9"/>
    <w:rsid w:val="549978B3"/>
    <w:rsid w:val="54B23519"/>
    <w:rsid w:val="551F92D6"/>
    <w:rsid w:val="55326F81"/>
    <w:rsid w:val="557466CD"/>
    <w:rsid w:val="557A53C9"/>
    <w:rsid w:val="559A0BD6"/>
    <w:rsid w:val="56CC3053"/>
    <w:rsid w:val="56E2BAE0"/>
    <w:rsid w:val="56FE4AAB"/>
    <w:rsid w:val="5787FE53"/>
    <w:rsid w:val="57935454"/>
    <w:rsid w:val="57B18A9F"/>
    <w:rsid w:val="57D63E92"/>
    <w:rsid w:val="57E54EE6"/>
    <w:rsid w:val="58272E98"/>
    <w:rsid w:val="58C45C66"/>
    <w:rsid w:val="59911962"/>
    <w:rsid w:val="599381B1"/>
    <w:rsid w:val="59D95774"/>
    <w:rsid w:val="59EC2B5A"/>
    <w:rsid w:val="5A0C31C4"/>
    <w:rsid w:val="5A315149"/>
    <w:rsid w:val="5A968A13"/>
    <w:rsid w:val="5B2D127C"/>
    <w:rsid w:val="5B468E3B"/>
    <w:rsid w:val="5BC784BF"/>
    <w:rsid w:val="5C213B48"/>
    <w:rsid w:val="5C9961EF"/>
    <w:rsid w:val="5CD0930D"/>
    <w:rsid w:val="5D151CA7"/>
    <w:rsid w:val="5D695377"/>
    <w:rsid w:val="5DD421C8"/>
    <w:rsid w:val="5DE52EF1"/>
    <w:rsid w:val="5DF631B4"/>
    <w:rsid w:val="5DF6A528"/>
    <w:rsid w:val="5DFC2BFA"/>
    <w:rsid w:val="5E1A66E0"/>
    <w:rsid w:val="5E608ACA"/>
    <w:rsid w:val="5E61A367"/>
    <w:rsid w:val="5E9A53ED"/>
    <w:rsid w:val="5EF363CC"/>
    <w:rsid w:val="5F3B21E9"/>
    <w:rsid w:val="5F442676"/>
    <w:rsid w:val="5FAF7E7A"/>
    <w:rsid w:val="5FEC6734"/>
    <w:rsid w:val="5FF73B31"/>
    <w:rsid w:val="5FFE856C"/>
    <w:rsid w:val="6066ADFD"/>
    <w:rsid w:val="611E7685"/>
    <w:rsid w:val="612A5259"/>
    <w:rsid w:val="61701B08"/>
    <w:rsid w:val="61741249"/>
    <w:rsid w:val="619B24DD"/>
    <w:rsid w:val="61BF6849"/>
    <w:rsid w:val="61F085CF"/>
    <w:rsid w:val="61FA7BA6"/>
    <w:rsid w:val="62243475"/>
    <w:rsid w:val="62552363"/>
    <w:rsid w:val="62798BD0"/>
    <w:rsid w:val="627B119A"/>
    <w:rsid w:val="62A17E58"/>
    <w:rsid w:val="62B4E02A"/>
    <w:rsid w:val="62C24F18"/>
    <w:rsid w:val="6328591B"/>
    <w:rsid w:val="63300BD6"/>
    <w:rsid w:val="636F6365"/>
    <w:rsid w:val="640E16DA"/>
    <w:rsid w:val="64805256"/>
    <w:rsid w:val="650B5194"/>
    <w:rsid w:val="653579C4"/>
    <w:rsid w:val="65685488"/>
    <w:rsid w:val="65FA96E8"/>
    <w:rsid w:val="6634002F"/>
    <w:rsid w:val="66620B2A"/>
    <w:rsid w:val="66DE1520"/>
    <w:rsid w:val="687539E3"/>
    <w:rsid w:val="68835983"/>
    <w:rsid w:val="68DAF95F"/>
    <w:rsid w:val="68FF461F"/>
    <w:rsid w:val="69080048"/>
    <w:rsid w:val="6909039D"/>
    <w:rsid w:val="69213631"/>
    <w:rsid w:val="692BAA75"/>
    <w:rsid w:val="693EB55F"/>
    <w:rsid w:val="695754E9"/>
    <w:rsid w:val="699C22A3"/>
    <w:rsid w:val="69A931DC"/>
    <w:rsid w:val="69B775C2"/>
    <w:rsid w:val="6A1D4790"/>
    <w:rsid w:val="6A320EA6"/>
    <w:rsid w:val="6A49B7C3"/>
    <w:rsid w:val="6AAC42C4"/>
    <w:rsid w:val="6AF17633"/>
    <w:rsid w:val="6B0A2BAB"/>
    <w:rsid w:val="6B111F70"/>
    <w:rsid w:val="6B88CC3C"/>
    <w:rsid w:val="6B914480"/>
    <w:rsid w:val="6BB53C68"/>
    <w:rsid w:val="6BB84929"/>
    <w:rsid w:val="6C2DA63C"/>
    <w:rsid w:val="6C6A8476"/>
    <w:rsid w:val="6C8A83F7"/>
    <w:rsid w:val="6CB94C76"/>
    <w:rsid w:val="6CCAE6F2"/>
    <w:rsid w:val="6CD482D2"/>
    <w:rsid w:val="6CDC02F3"/>
    <w:rsid w:val="6D1C5565"/>
    <w:rsid w:val="6D25D3D4"/>
    <w:rsid w:val="6D3C12A8"/>
    <w:rsid w:val="6D8A2D46"/>
    <w:rsid w:val="6DA790DE"/>
    <w:rsid w:val="6DCE467A"/>
    <w:rsid w:val="6E28606D"/>
    <w:rsid w:val="6EDE5998"/>
    <w:rsid w:val="6EF921C6"/>
    <w:rsid w:val="6F436116"/>
    <w:rsid w:val="6F552352"/>
    <w:rsid w:val="6F849BF7"/>
    <w:rsid w:val="6FAD18AE"/>
    <w:rsid w:val="6FB8716D"/>
    <w:rsid w:val="70117D48"/>
    <w:rsid w:val="705971F7"/>
    <w:rsid w:val="709070F4"/>
    <w:rsid w:val="70A82B2E"/>
    <w:rsid w:val="7103C641"/>
    <w:rsid w:val="712AD2B4"/>
    <w:rsid w:val="726C739C"/>
    <w:rsid w:val="72FAC5CD"/>
    <w:rsid w:val="730C1CC5"/>
    <w:rsid w:val="733F6E3A"/>
    <w:rsid w:val="736C3B18"/>
    <w:rsid w:val="742A3158"/>
    <w:rsid w:val="7444A969"/>
    <w:rsid w:val="74C87E25"/>
    <w:rsid w:val="751710E9"/>
    <w:rsid w:val="755666B7"/>
    <w:rsid w:val="755E594A"/>
    <w:rsid w:val="75707339"/>
    <w:rsid w:val="760E6CB7"/>
    <w:rsid w:val="761977B9"/>
    <w:rsid w:val="761C5D27"/>
    <w:rsid w:val="76A63AB8"/>
    <w:rsid w:val="76AC05AB"/>
    <w:rsid w:val="76AD2822"/>
    <w:rsid w:val="776031D4"/>
    <w:rsid w:val="77C3D1EE"/>
    <w:rsid w:val="77FB6A72"/>
    <w:rsid w:val="77FFBE2E"/>
    <w:rsid w:val="78492845"/>
    <w:rsid w:val="78A00621"/>
    <w:rsid w:val="78A4593C"/>
    <w:rsid w:val="78C61844"/>
    <w:rsid w:val="78C70F51"/>
    <w:rsid w:val="79263F52"/>
    <w:rsid w:val="794068AB"/>
    <w:rsid w:val="79B9EF4F"/>
    <w:rsid w:val="79E1F351"/>
    <w:rsid w:val="79F22524"/>
    <w:rsid w:val="7A34172F"/>
    <w:rsid w:val="7A8556CB"/>
    <w:rsid w:val="7AFD75F6"/>
    <w:rsid w:val="7B146E4E"/>
    <w:rsid w:val="7B1509B1"/>
    <w:rsid w:val="7B1BDCC7"/>
    <w:rsid w:val="7B302BA6"/>
    <w:rsid w:val="7B491171"/>
    <w:rsid w:val="7B5C0D1A"/>
    <w:rsid w:val="7B7878F1"/>
    <w:rsid w:val="7B8A7F76"/>
    <w:rsid w:val="7C6F8552"/>
    <w:rsid w:val="7CCFBE5A"/>
    <w:rsid w:val="7CDE514C"/>
    <w:rsid w:val="7D45285A"/>
    <w:rsid w:val="7D5F11D1"/>
    <w:rsid w:val="7DD2110E"/>
    <w:rsid w:val="7DE91E38"/>
    <w:rsid w:val="7EB414FE"/>
    <w:rsid w:val="7ECD26AD"/>
    <w:rsid w:val="7F5F09AC"/>
    <w:rsid w:val="7F7891B0"/>
    <w:rsid w:val="7F9349B1"/>
    <w:rsid w:val="7FC9E86F"/>
    <w:rsid w:val="7FCF95A1"/>
    <w:rsid w:val="7FDF6079"/>
    <w:rsid w:val="7FE31F22"/>
    <w:rsid w:val="7FF05C21"/>
    <w:rsid w:val="7FFB9CEA"/>
    <w:rsid w:val="80EB9C8E"/>
    <w:rsid w:val="810D72BC"/>
    <w:rsid w:val="819BF8A3"/>
    <w:rsid w:val="82046577"/>
    <w:rsid w:val="828D24D9"/>
    <w:rsid w:val="83154A7D"/>
    <w:rsid w:val="84121031"/>
    <w:rsid w:val="848B8D23"/>
    <w:rsid w:val="84D5D5C7"/>
    <w:rsid w:val="84E56920"/>
    <w:rsid w:val="854E0CEC"/>
    <w:rsid w:val="85F4D4C0"/>
    <w:rsid w:val="87031804"/>
    <w:rsid w:val="87AA8142"/>
    <w:rsid w:val="8874AF91"/>
    <w:rsid w:val="89805957"/>
    <w:rsid w:val="89CEE3EF"/>
    <w:rsid w:val="89F19B28"/>
    <w:rsid w:val="8B14BB9C"/>
    <w:rsid w:val="8B7A9715"/>
    <w:rsid w:val="8B9A1D75"/>
    <w:rsid w:val="8C78E770"/>
    <w:rsid w:val="8DCCB7E2"/>
    <w:rsid w:val="8DD8F935"/>
    <w:rsid w:val="8E8FCECB"/>
    <w:rsid w:val="911513F6"/>
    <w:rsid w:val="913C1E35"/>
    <w:rsid w:val="918C3B01"/>
    <w:rsid w:val="91D5BAE3"/>
    <w:rsid w:val="92CBED31"/>
    <w:rsid w:val="92F13677"/>
    <w:rsid w:val="93CC0A31"/>
    <w:rsid w:val="9409D083"/>
    <w:rsid w:val="94DA75DA"/>
    <w:rsid w:val="9697250D"/>
    <w:rsid w:val="96C9F7F7"/>
    <w:rsid w:val="97502C0D"/>
    <w:rsid w:val="9798D74D"/>
    <w:rsid w:val="988EBBC3"/>
    <w:rsid w:val="995FF9B5"/>
    <w:rsid w:val="997C8A74"/>
    <w:rsid w:val="999E5B9A"/>
    <w:rsid w:val="99BEEA2B"/>
    <w:rsid w:val="9C1F81D5"/>
    <w:rsid w:val="9C7A30CD"/>
    <w:rsid w:val="9CA831DC"/>
    <w:rsid w:val="9DFB5BEC"/>
    <w:rsid w:val="9E4E3E0C"/>
    <w:rsid w:val="9E91C3CB"/>
    <w:rsid w:val="9FC82E8D"/>
    <w:rsid w:val="A05A0146"/>
    <w:rsid w:val="A2407668"/>
    <w:rsid w:val="A25FA78B"/>
    <w:rsid w:val="A2665F58"/>
    <w:rsid w:val="A3554419"/>
    <w:rsid w:val="A3CE280D"/>
    <w:rsid w:val="A3D8DA2F"/>
    <w:rsid w:val="A4495559"/>
    <w:rsid w:val="A47F3839"/>
    <w:rsid w:val="A5B42DD7"/>
    <w:rsid w:val="A6713245"/>
    <w:rsid w:val="A73612F4"/>
    <w:rsid w:val="A8B1C0CA"/>
    <w:rsid w:val="A8F8ACCD"/>
    <w:rsid w:val="A9480421"/>
    <w:rsid w:val="A9556EAB"/>
    <w:rsid w:val="A9AC0F16"/>
    <w:rsid w:val="AA0B33C1"/>
    <w:rsid w:val="AB997272"/>
    <w:rsid w:val="AC3096C3"/>
    <w:rsid w:val="AC5E7F18"/>
    <w:rsid w:val="ACC3C60F"/>
    <w:rsid w:val="ACCA8DDA"/>
    <w:rsid w:val="ACF3D4EF"/>
    <w:rsid w:val="ACFE0A8F"/>
    <w:rsid w:val="AEC1CB2F"/>
    <w:rsid w:val="B00A5B3A"/>
    <w:rsid w:val="B23B1FA1"/>
    <w:rsid w:val="B344D3C6"/>
    <w:rsid w:val="B3C92320"/>
    <w:rsid w:val="B4CEDC3B"/>
    <w:rsid w:val="B59D3E5B"/>
    <w:rsid w:val="B7513FF4"/>
    <w:rsid w:val="B754D0A4"/>
    <w:rsid w:val="B7F9A0EF"/>
    <w:rsid w:val="B90575DD"/>
    <w:rsid w:val="B944858B"/>
    <w:rsid w:val="B97EA064"/>
    <w:rsid w:val="B9F1D7D6"/>
    <w:rsid w:val="BA61B31D"/>
    <w:rsid w:val="BAD68C31"/>
    <w:rsid w:val="BBAAD70B"/>
    <w:rsid w:val="BBFC6840"/>
    <w:rsid w:val="BCFD3662"/>
    <w:rsid w:val="BD7B7537"/>
    <w:rsid w:val="BDA50CB2"/>
    <w:rsid w:val="BDAC154E"/>
    <w:rsid w:val="BE5EA879"/>
    <w:rsid w:val="BE5F2E74"/>
    <w:rsid w:val="BE775B95"/>
    <w:rsid w:val="BF3343D6"/>
    <w:rsid w:val="BF656722"/>
    <w:rsid w:val="C09437F3"/>
    <w:rsid w:val="C112A41C"/>
    <w:rsid w:val="C1B53438"/>
    <w:rsid w:val="C2109250"/>
    <w:rsid w:val="C21EA671"/>
    <w:rsid w:val="C3122C43"/>
    <w:rsid w:val="C372EED3"/>
    <w:rsid w:val="C3E0EABC"/>
    <w:rsid w:val="C4FC0698"/>
    <w:rsid w:val="C51DD9EC"/>
    <w:rsid w:val="C65E1E75"/>
    <w:rsid w:val="C6BC582B"/>
    <w:rsid w:val="C6D992A4"/>
    <w:rsid w:val="C727B49C"/>
    <w:rsid w:val="C7DF233D"/>
    <w:rsid w:val="C876D8AE"/>
    <w:rsid w:val="C8F0FDED"/>
    <w:rsid w:val="CA0CCC31"/>
    <w:rsid w:val="CA72381E"/>
    <w:rsid w:val="CB45D802"/>
    <w:rsid w:val="CB7D0BFD"/>
    <w:rsid w:val="CC942EB4"/>
    <w:rsid w:val="CD656464"/>
    <w:rsid w:val="CDAAD8A6"/>
    <w:rsid w:val="CE8A4E4D"/>
    <w:rsid w:val="CF5E0F0A"/>
    <w:rsid w:val="CFFF302E"/>
    <w:rsid w:val="D014AEF2"/>
    <w:rsid w:val="D05894B9"/>
    <w:rsid w:val="D0DB6394"/>
    <w:rsid w:val="D137876F"/>
    <w:rsid w:val="D4DEA02D"/>
    <w:rsid w:val="D4EE3216"/>
    <w:rsid w:val="D50891B4"/>
    <w:rsid w:val="D5D14089"/>
    <w:rsid w:val="D659F5CA"/>
    <w:rsid w:val="D6EB5983"/>
    <w:rsid w:val="D757346E"/>
    <w:rsid w:val="D825B432"/>
    <w:rsid w:val="D85AD41F"/>
    <w:rsid w:val="D8CF158A"/>
    <w:rsid w:val="D9F50DDE"/>
    <w:rsid w:val="DA79C88F"/>
    <w:rsid w:val="DACA3111"/>
    <w:rsid w:val="DB57FDC5"/>
    <w:rsid w:val="DB80C101"/>
    <w:rsid w:val="DB9D0685"/>
    <w:rsid w:val="DC585377"/>
    <w:rsid w:val="DCBDC5CB"/>
    <w:rsid w:val="DCF8FEF5"/>
    <w:rsid w:val="DD78E873"/>
    <w:rsid w:val="DD9AC070"/>
    <w:rsid w:val="DDB5A9EB"/>
    <w:rsid w:val="DE30D7A8"/>
    <w:rsid w:val="DE8CDECF"/>
    <w:rsid w:val="DF7239E5"/>
    <w:rsid w:val="E2D1C01C"/>
    <w:rsid w:val="E346D6E3"/>
    <w:rsid w:val="E3684ABE"/>
    <w:rsid w:val="E3DA5805"/>
    <w:rsid w:val="E443D085"/>
    <w:rsid w:val="E4C901BD"/>
    <w:rsid w:val="E4EAE958"/>
    <w:rsid w:val="E696F552"/>
    <w:rsid w:val="E6DBC40C"/>
    <w:rsid w:val="E7AC540A"/>
    <w:rsid w:val="E882BC62"/>
    <w:rsid w:val="E95277DA"/>
    <w:rsid w:val="E9D45AE0"/>
    <w:rsid w:val="EB84EF01"/>
    <w:rsid w:val="EB959B2B"/>
    <w:rsid w:val="EBF74F6B"/>
    <w:rsid w:val="EC47BE0E"/>
    <w:rsid w:val="EDB8AE9A"/>
    <w:rsid w:val="EDFB9FB4"/>
    <w:rsid w:val="EE24A1A2"/>
    <w:rsid w:val="EF0DB53C"/>
    <w:rsid w:val="F0A2270B"/>
    <w:rsid w:val="F0FEA8FF"/>
    <w:rsid w:val="F1F81371"/>
    <w:rsid w:val="F210E3F8"/>
    <w:rsid w:val="F299F2CA"/>
    <w:rsid w:val="F337B69F"/>
    <w:rsid w:val="F3759A28"/>
    <w:rsid w:val="F3912F08"/>
    <w:rsid w:val="F4921F58"/>
    <w:rsid w:val="F5389CFA"/>
    <w:rsid w:val="F637827B"/>
    <w:rsid w:val="F65ABA7C"/>
    <w:rsid w:val="F672068B"/>
    <w:rsid w:val="F780750B"/>
    <w:rsid w:val="F7C383BC"/>
    <w:rsid w:val="F8F4B948"/>
    <w:rsid w:val="F925339F"/>
    <w:rsid w:val="F9DFEDE7"/>
    <w:rsid w:val="FB015EA3"/>
    <w:rsid w:val="FB0561A9"/>
    <w:rsid w:val="FB411EC3"/>
    <w:rsid w:val="FB8F81D3"/>
    <w:rsid w:val="FBCD2D78"/>
    <w:rsid w:val="FC0CCBDD"/>
    <w:rsid w:val="FC51AD9A"/>
    <w:rsid w:val="FC5383C6"/>
    <w:rsid w:val="FCDBDB85"/>
    <w:rsid w:val="FD015CB0"/>
    <w:rsid w:val="FD6D0912"/>
    <w:rsid w:val="FDCE5A6C"/>
    <w:rsid w:val="FDFFFA02"/>
    <w:rsid w:val="FE2A62A4"/>
    <w:rsid w:val="FE319E07"/>
    <w:rsid w:val="FE35A574"/>
    <w:rsid w:val="FEA8D846"/>
    <w:rsid w:val="FEBC6CB7"/>
    <w:rsid w:val="FFF75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99"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0" w:name="HTML Keyboard"/>
    <w:lsdException w:qFormat="1" w:unhideWhenUsed="0" w:uiPriority="0" w:semiHidden="0" w:name="HTML Preformatted"/>
    <w:lsdException w:uiPriority="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47"/>
    <w:qFormat/>
    <w:uiPriority w:val="0"/>
    <w:pPr>
      <w:keepNext/>
      <w:keepLines/>
      <w:widowControl/>
      <w:numPr>
        <w:ilvl w:val="0"/>
        <w:numId w:val="1"/>
      </w:numPr>
      <w:spacing w:before="400" w:after="120"/>
      <w:outlineLvl w:val="0"/>
    </w:pPr>
    <w:rPr>
      <w:rFonts w:ascii="微软雅黑" w:hAnsi="微软雅黑" w:eastAsia="微软雅黑" w:cs="微软雅黑"/>
      <w:b/>
      <w:color w:val="003764"/>
      <w:kern w:val="0"/>
      <w:sz w:val="40"/>
      <w:szCs w:val="32"/>
      <w:lang w:val="en-GB" w:eastAsia="en-US"/>
    </w:rPr>
  </w:style>
  <w:style w:type="paragraph" w:styleId="3">
    <w:name w:val="heading 2"/>
    <w:basedOn w:val="1"/>
    <w:next w:val="1"/>
    <w:link w:val="45"/>
    <w:qFormat/>
    <w:uiPriority w:val="0"/>
    <w:pPr>
      <w:keepNext/>
      <w:keepLines/>
      <w:widowControl/>
      <w:numPr>
        <w:ilvl w:val="1"/>
        <w:numId w:val="1"/>
      </w:numPr>
      <w:tabs>
        <w:tab w:val="left" w:pos="360"/>
      </w:tabs>
      <w:spacing w:before="320" w:after="120"/>
      <w:outlineLvl w:val="1"/>
    </w:pPr>
    <w:rPr>
      <w:rFonts w:ascii="微软雅黑" w:hAnsi="微软雅黑" w:eastAsia="微软雅黑" w:cs="微软雅黑"/>
      <w:b/>
      <w:color w:val="003764"/>
      <w:kern w:val="0"/>
      <w:sz w:val="32"/>
      <w:szCs w:val="32"/>
      <w:lang w:val="en-GB"/>
    </w:rPr>
  </w:style>
  <w:style w:type="paragraph" w:styleId="4">
    <w:name w:val="heading 3"/>
    <w:basedOn w:val="1"/>
    <w:next w:val="1"/>
    <w:link w:val="51"/>
    <w:qFormat/>
    <w:uiPriority w:val="0"/>
    <w:pPr>
      <w:widowControl/>
      <w:numPr>
        <w:ilvl w:val="2"/>
        <w:numId w:val="1"/>
      </w:numPr>
      <w:spacing w:after="80" w:line="256" w:lineRule="auto"/>
      <w:ind w:left="1004" w:hanging="720"/>
      <w:outlineLvl w:val="2"/>
    </w:pPr>
    <w:rPr>
      <w:rFonts w:ascii="微软雅黑" w:hAnsi="微软雅黑" w:eastAsia="微软雅黑" w:cs="微软雅黑"/>
      <w:b/>
      <w:color w:val="003764"/>
      <w:kern w:val="0"/>
      <w:sz w:val="22"/>
      <w:lang w:val="en-GB"/>
    </w:rPr>
  </w:style>
  <w:style w:type="paragraph" w:styleId="5">
    <w:name w:val="heading 4"/>
    <w:basedOn w:val="1"/>
    <w:next w:val="1"/>
    <w:link w:val="56"/>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43"/>
    <w:qFormat/>
    <w:uiPriority w:val="0"/>
    <w:pPr>
      <w:jc w:val="left"/>
    </w:pPr>
    <w:rPr>
      <w:sz w:val="24"/>
      <w:szCs w:val="20"/>
    </w:rPr>
  </w:style>
  <w:style w:type="paragraph" w:styleId="7">
    <w:name w:val="Body Text"/>
    <w:basedOn w:val="1"/>
    <w:qFormat/>
    <w:uiPriority w:val="0"/>
    <w:rPr>
      <w:rFonts w:ascii="仿宋_GB2312" w:eastAsia="仿宋_GB2312"/>
      <w:sz w:val="32"/>
    </w:rPr>
  </w:style>
  <w:style w:type="paragraph" w:styleId="8">
    <w:name w:val="toc 3"/>
    <w:basedOn w:val="1"/>
    <w:next w:val="1"/>
    <w:qFormat/>
    <w:uiPriority w:val="0"/>
    <w:pPr>
      <w:widowControl/>
      <w:spacing w:line="256" w:lineRule="auto"/>
      <w:contextualSpacing/>
    </w:pPr>
    <w:rPr>
      <w:rFonts w:ascii="Frutiger LT Com 45 Light" w:hAnsi="Frutiger LT Com 45 Light"/>
      <w:i/>
      <w:kern w:val="0"/>
      <w:sz w:val="18"/>
      <w:szCs w:val="22"/>
      <w:lang w:val="en-GB" w:eastAsia="en-US"/>
    </w:rPr>
  </w:style>
  <w:style w:type="paragraph" w:styleId="9">
    <w:name w:val="Body Text Indent 2"/>
    <w:basedOn w:val="1"/>
    <w:link w:val="54"/>
    <w:unhideWhenUsed/>
    <w:qFormat/>
    <w:uiPriority w:val="99"/>
    <w:pPr>
      <w:spacing w:after="120" w:line="480" w:lineRule="auto"/>
      <w:ind w:left="420" w:leftChars="200"/>
    </w:pPr>
  </w:style>
  <w:style w:type="paragraph" w:styleId="10">
    <w:name w:val="Balloon Text"/>
    <w:basedOn w:val="1"/>
    <w:link w:val="53"/>
    <w:qFormat/>
    <w:uiPriority w:val="0"/>
    <w:rPr>
      <w:sz w:val="18"/>
      <w:szCs w:val="18"/>
    </w:rPr>
  </w:style>
  <w:style w:type="paragraph" w:styleId="11">
    <w:name w:val="footer"/>
    <w:basedOn w:val="1"/>
    <w:link w:val="52"/>
    <w:qFormat/>
    <w:uiPriority w:val="99"/>
    <w:pPr>
      <w:tabs>
        <w:tab w:val="center" w:pos="4153"/>
        <w:tab w:val="right" w:pos="8306"/>
      </w:tabs>
      <w:snapToGrid w:val="0"/>
      <w:jc w:val="left"/>
    </w:pPr>
    <w:rPr>
      <w:kern w:val="0"/>
      <w:sz w:val="18"/>
      <w:szCs w:val="18"/>
    </w:rPr>
  </w:style>
  <w:style w:type="paragraph" w:styleId="12">
    <w:name w:val="header"/>
    <w:basedOn w:val="1"/>
    <w:link w:val="49"/>
    <w:qFormat/>
    <w:uiPriority w:val="0"/>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link w:val="41"/>
    <w:qFormat/>
    <w:uiPriority w:val="0"/>
    <w:pPr>
      <w:widowControl/>
      <w:spacing w:line="560" w:lineRule="exact"/>
      <w:contextualSpacing/>
    </w:pPr>
    <w:rPr>
      <w:rFonts w:ascii="Inria Serif" w:hAnsi="Inria Serif" w:cs="Times New Roman (Headings CS)"/>
      <w:b/>
      <w:color w:val="0084AD"/>
      <w:spacing w:val="-10"/>
      <w:kern w:val="28"/>
      <w:sz w:val="50"/>
      <w:szCs w:val="56"/>
      <w:lang w:val="en-AU" w:eastAsia="en-US"/>
    </w:rPr>
  </w:style>
  <w:style w:type="paragraph" w:styleId="18">
    <w:name w:val="annotation subject"/>
    <w:basedOn w:val="6"/>
    <w:next w:val="6"/>
    <w:qFormat/>
    <w:uiPriority w:val="0"/>
    <w:rPr>
      <w:b/>
      <w:bCs/>
      <w:sz w:val="21"/>
    </w:rPr>
  </w:style>
  <w:style w:type="paragraph" w:styleId="19">
    <w:name w:val="Body Text First Indent"/>
    <w:basedOn w:val="7"/>
    <w:qFormat/>
    <w:uiPriority w:val="0"/>
    <w:pPr>
      <w:spacing w:line="560" w:lineRule="exact"/>
      <w:ind w:firstLine="721" w:firstLineChars="200"/>
    </w:pPr>
    <w:rPr>
      <w:rFonts w:ascii="Calibri"/>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qFormat/>
    <w:uiPriority w:val="0"/>
    <w:rPr>
      <w:rFonts w:ascii="Calibri" w:hAnsi="Calibri" w:eastAsia="宋体" w:cs="Times New Roman"/>
    </w:rPr>
  </w:style>
  <w:style w:type="character" w:styleId="24">
    <w:name w:val="FollowedHyperlink"/>
    <w:basedOn w:val="22"/>
    <w:qFormat/>
    <w:uiPriority w:val="0"/>
    <w:rPr>
      <w:color w:val="800080"/>
      <w:u w:val="none"/>
    </w:rPr>
  </w:style>
  <w:style w:type="character" w:styleId="25">
    <w:name w:val="Emphasis"/>
    <w:basedOn w:val="22"/>
    <w:qFormat/>
    <w:uiPriority w:val="0"/>
  </w:style>
  <w:style w:type="character" w:styleId="26">
    <w:name w:val="HTML Definition"/>
    <w:basedOn w:val="22"/>
    <w:qFormat/>
    <w:uiPriority w:val="0"/>
  </w:style>
  <w:style w:type="character" w:styleId="27">
    <w:name w:val="HTML Acronym"/>
    <w:basedOn w:val="22"/>
    <w:qFormat/>
    <w:uiPriority w:val="0"/>
  </w:style>
  <w:style w:type="character" w:styleId="28">
    <w:name w:val="HTML Variable"/>
    <w:basedOn w:val="22"/>
    <w:qFormat/>
    <w:uiPriority w:val="0"/>
  </w:style>
  <w:style w:type="character" w:styleId="29">
    <w:name w:val="Hyperlink"/>
    <w:qFormat/>
    <w:uiPriority w:val="99"/>
    <w:rPr>
      <w:rFonts w:ascii="Calibri" w:hAnsi="Calibri" w:eastAsia="宋体" w:cs="Times New Roman"/>
      <w:color w:val="0000FF"/>
      <w:u w:val="single"/>
    </w:rPr>
  </w:style>
  <w:style w:type="character" w:styleId="30">
    <w:name w:val="HTML Code"/>
    <w:basedOn w:val="22"/>
    <w:qFormat/>
    <w:uiPriority w:val="0"/>
    <w:rPr>
      <w:rFonts w:ascii="Courier New" w:hAnsi="Courier New"/>
      <w:sz w:val="20"/>
    </w:rPr>
  </w:style>
  <w:style w:type="character" w:styleId="31">
    <w:name w:val="annotation reference"/>
    <w:qFormat/>
    <w:uiPriority w:val="0"/>
    <w:rPr>
      <w:rFonts w:ascii="Calibri" w:hAnsi="Calibri" w:eastAsia="宋体" w:cs="Times New Roman"/>
      <w:sz w:val="21"/>
      <w:szCs w:val="21"/>
    </w:rPr>
  </w:style>
  <w:style w:type="character" w:styleId="32">
    <w:name w:val="HTML Cite"/>
    <w:basedOn w:val="22"/>
    <w:qFormat/>
    <w:uiPriority w:val="0"/>
  </w:style>
  <w:style w:type="paragraph" w:customStyle="1" w:styleId="33">
    <w:name w:val="p0"/>
    <w:basedOn w:val="1"/>
    <w:qFormat/>
    <w:uiPriority w:val="0"/>
    <w:pPr>
      <w:widowControl/>
      <w:spacing w:line="590" w:lineRule="atLeast"/>
      <w:ind w:firstLine="624"/>
    </w:pPr>
    <w:rPr>
      <w:kern w:val="0"/>
      <w:sz w:val="32"/>
      <w:szCs w:val="32"/>
    </w:rPr>
  </w:style>
  <w:style w:type="paragraph" w:customStyle="1" w:styleId="34">
    <w:name w:val="TOC 标题1"/>
    <w:basedOn w:val="2"/>
    <w:next w:val="1"/>
    <w:qFormat/>
    <w:uiPriority w:val="0"/>
    <w:pPr>
      <w:numPr>
        <w:numId w:val="0"/>
      </w:numPr>
      <w:spacing w:before="240" w:after="0" w:line="256" w:lineRule="auto"/>
      <w:outlineLvl w:val="9"/>
    </w:pPr>
    <w:rPr>
      <w:rFonts w:ascii="Calibri Light" w:hAnsi="Calibri Light" w:eastAsia="宋体" w:cs="Times New Roman"/>
      <w:b w:val="0"/>
      <w:color w:val="2E74B5"/>
      <w:sz w:val="32"/>
      <w:lang w:val="en-US" w:eastAsia="zh-CN"/>
    </w:rPr>
  </w:style>
  <w:style w:type="paragraph" w:customStyle="1" w:styleId="35">
    <w:name w:val="列出段落1"/>
    <w:basedOn w:val="1"/>
    <w:qFormat/>
    <w:uiPriority w:val="0"/>
    <w:pPr>
      <w:ind w:firstLine="420" w:firstLineChars="200"/>
    </w:pPr>
  </w:style>
  <w:style w:type="paragraph" w:customStyle="1" w:styleId="36">
    <w:name w:val="Table Bullet"/>
    <w:basedOn w:val="1"/>
    <w:qFormat/>
    <w:uiPriority w:val="0"/>
    <w:pPr>
      <w:widowControl/>
      <w:numPr>
        <w:ilvl w:val="0"/>
        <w:numId w:val="2"/>
      </w:numPr>
      <w:spacing w:after="120"/>
      <w:ind w:left="284" w:hanging="284"/>
      <w:contextualSpacing/>
    </w:pPr>
    <w:rPr>
      <w:rFonts w:ascii="Frutiger LT Com 45 Light" w:hAnsi="Frutiger LT Com 45 Light"/>
      <w:kern w:val="0"/>
      <w:sz w:val="20"/>
      <w:szCs w:val="22"/>
      <w:lang w:val="en-GB" w:eastAsia="en-US"/>
    </w:rPr>
  </w:style>
  <w:style w:type="paragraph" w:customStyle="1" w:styleId="37">
    <w:name w:val="Editable table text"/>
    <w:basedOn w:val="1"/>
    <w:link w:val="48"/>
    <w:qFormat/>
    <w:uiPriority w:val="0"/>
    <w:pPr>
      <w:widowControl/>
    </w:pPr>
    <w:rPr>
      <w:rFonts w:ascii="Frutiger LT Com 45 Light" w:hAnsi="Frutiger LT Com 45 Light"/>
      <w:color w:val="62B5E5"/>
      <w:kern w:val="0"/>
      <w:sz w:val="20"/>
      <w:lang w:val="en-GB" w:eastAsia="en-US"/>
    </w:rPr>
  </w:style>
  <w:style w:type="paragraph" w:customStyle="1" w:styleId="38">
    <w:name w:val="样式2"/>
    <w:basedOn w:val="2"/>
    <w:next w:val="1"/>
    <w:qFormat/>
    <w:uiPriority w:val="0"/>
    <w:pPr>
      <w:widowControl w:val="0"/>
      <w:numPr>
        <w:numId w:val="0"/>
      </w:numPr>
      <w:tabs>
        <w:tab w:val="clear" w:pos="360"/>
      </w:tabs>
      <w:spacing w:before="340" w:after="330" w:line="576" w:lineRule="auto"/>
    </w:pPr>
    <w:rPr>
      <w:rFonts w:ascii="Times New Roman" w:hAnsi="Times New Roman" w:eastAsia="宋体" w:cs="Times New Roman"/>
      <w:bCs/>
      <w:color w:val="auto"/>
      <w:kern w:val="44"/>
      <w:sz w:val="44"/>
      <w:szCs w:val="44"/>
      <w:lang w:val="en-US" w:eastAsia="zh-CN"/>
    </w:rPr>
  </w:style>
  <w:style w:type="paragraph" w:customStyle="1" w:styleId="39">
    <w:name w:val="公文1"/>
    <w:basedOn w:val="1"/>
    <w:qFormat/>
    <w:uiPriority w:val="0"/>
    <w:rPr>
      <w:rFonts w:eastAsia="仿宋"/>
      <w:sz w:val="32"/>
    </w:rPr>
  </w:style>
  <w:style w:type="paragraph" w:customStyle="1" w:styleId="40">
    <w:name w:val="样式3"/>
    <w:basedOn w:val="2"/>
    <w:next w:val="1"/>
    <w:qFormat/>
    <w:uiPriority w:val="0"/>
    <w:pPr>
      <w:widowControl w:val="0"/>
      <w:numPr>
        <w:numId w:val="0"/>
      </w:numPr>
      <w:tabs>
        <w:tab w:val="clear" w:pos="360"/>
      </w:tabs>
      <w:spacing w:before="340" w:after="330" w:line="576" w:lineRule="auto"/>
    </w:pPr>
    <w:rPr>
      <w:rFonts w:ascii="Calibri" w:hAnsi="Calibri" w:eastAsia="华文中宋" w:cs="Times New Roman"/>
      <w:color w:val="auto"/>
      <w:kern w:val="44"/>
      <w:sz w:val="44"/>
      <w:szCs w:val="24"/>
      <w:lang w:val="en-US" w:eastAsia="zh-CN"/>
    </w:rPr>
  </w:style>
  <w:style w:type="character" w:customStyle="1" w:styleId="41">
    <w:name w:val="标题 字符"/>
    <w:link w:val="17"/>
    <w:qFormat/>
    <w:uiPriority w:val="0"/>
    <w:rPr>
      <w:rFonts w:ascii="Inria Serif" w:hAnsi="Inria Serif" w:eastAsia="宋体" w:cs="Times New Roman (Headings CS)"/>
      <w:b/>
      <w:color w:val="0084AD"/>
      <w:spacing w:val="-10"/>
      <w:kern w:val="28"/>
      <w:sz w:val="50"/>
      <w:szCs w:val="56"/>
      <w:lang w:val="en-AU" w:eastAsia="en-US" w:bidi="ar-SA"/>
    </w:rPr>
  </w:style>
  <w:style w:type="character" w:customStyle="1" w:styleId="42">
    <w:name w:val="页眉 Char Char Char"/>
    <w:qFormat/>
    <w:uiPriority w:val="0"/>
    <w:rPr>
      <w:rFonts w:ascii="Calibri" w:hAnsi="Calibri" w:eastAsia="宋体" w:cs="Times New Roman"/>
      <w:kern w:val="2"/>
      <w:sz w:val="18"/>
      <w:szCs w:val="18"/>
    </w:rPr>
  </w:style>
  <w:style w:type="character" w:customStyle="1" w:styleId="43">
    <w:name w:val="批注文字 字符"/>
    <w:link w:val="6"/>
    <w:qFormat/>
    <w:uiPriority w:val="0"/>
    <w:rPr>
      <w:rFonts w:ascii="Calibri" w:hAnsi="Calibri" w:eastAsia="宋体" w:cs="Times New Roman"/>
      <w:kern w:val="2"/>
      <w:sz w:val="24"/>
      <w:lang w:bidi="ar-SA"/>
    </w:rPr>
  </w:style>
  <w:style w:type="character" w:customStyle="1" w:styleId="44">
    <w:name w:val="Editable"/>
    <w:qFormat/>
    <w:uiPriority w:val="0"/>
    <w:rPr>
      <w:rFonts w:hint="default" w:ascii="Times New Roman" w:hAnsi="Times New Roman" w:eastAsia="宋体" w:cs="Times New Roman"/>
      <w:color w:val="62B5E5"/>
    </w:rPr>
  </w:style>
  <w:style w:type="character" w:customStyle="1" w:styleId="45">
    <w:name w:val="标题 2 字符"/>
    <w:link w:val="3"/>
    <w:qFormat/>
    <w:uiPriority w:val="0"/>
    <w:rPr>
      <w:rFonts w:ascii="微软雅黑" w:hAnsi="微软雅黑" w:eastAsia="微软雅黑" w:cs="微软雅黑"/>
      <w:b/>
      <w:color w:val="003764"/>
      <w:sz w:val="32"/>
      <w:szCs w:val="32"/>
      <w:lang w:val="en-GB" w:eastAsia="zh-CN" w:bidi="ar-SA"/>
    </w:rPr>
  </w:style>
  <w:style w:type="character" w:customStyle="1" w:styleId="46">
    <w:name w:val="Comment Text Char"/>
    <w:qFormat/>
    <w:uiPriority w:val="0"/>
    <w:rPr>
      <w:rFonts w:ascii="Calibri" w:hAnsi="Calibri" w:eastAsia="宋体" w:cs="Times New Roman"/>
      <w:szCs w:val="24"/>
    </w:rPr>
  </w:style>
  <w:style w:type="character" w:customStyle="1" w:styleId="47">
    <w:name w:val="标题 1 字符"/>
    <w:link w:val="2"/>
    <w:qFormat/>
    <w:uiPriority w:val="0"/>
    <w:rPr>
      <w:rFonts w:ascii="微软雅黑" w:hAnsi="微软雅黑" w:eastAsia="微软雅黑" w:cs="微软雅黑"/>
      <w:b/>
      <w:color w:val="003764"/>
      <w:sz w:val="40"/>
      <w:szCs w:val="32"/>
      <w:lang w:val="en-GB" w:eastAsia="en-US" w:bidi="ar-SA"/>
    </w:rPr>
  </w:style>
  <w:style w:type="character" w:customStyle="1" w:styleId="48">
    <w:name w:val="Editable table text Char"/>
    <w:link w:val="37"/>
    <w:qFormat/>
    <w:uiPriority w:val="0"/>
    <w:rPr>
      <w:rFonts w:ascii="Frutiger LT Com 45 Light" w:hAnsi="Frutiger LT Com 45 Light" w:eastAsia="宋体" w:cs="Times New Roman"/>
      <w:color w:val="62B5E5"/>
      <w:szCs w:val="24"/>
      <w:lang w:val="en-GB" w:eastAsia="en-US" w:bidi="ar-SA"/>
    </w:rPr>
  </w:style>
  <w:style w:type="character" w:customStyle="1" w:styleId="49">
    <w:name w:val="页眉 字符"/>
    <w:link w:val="12"/>
    <w:qFormat/>
    <w:uiPriority w:val="0"/>
    <w:rPr>
      <w:rFonts w:ascii="Calibri" w:hAnsi="Calibri" w:eastAsia="宋体" w:cs="Times New Roman"/>
      <w:sz w:val="18"/>
      <w:szCs w:val="18"/>
      <w:lang w:bidi="ar-SA"/>
    </w:rPr>
  </w:style>
  <w:style w:type="character" w:customStyle="1" w:styleId="50">
    <w:name w:val="页码1"/>
    <w:qFormat/>
    <w:uiPriority w:val="0"/>
    <w:rPr>
      <w:rFonts w:ascii="Calibri" w:hAnsi="Calibri" w:eastAsia="宋体" w:cs="Times New Roman"/>
    </w:rPr>
  </w:style>
  <w:style w:type="character" w:customStyle="1" w:styleId="51">
    <w:name w:val="标题 3 字符"/>
    <w:link w:val="4"/>
    <w:qFormat/>
    <w:uiPriority w:val="9"/>
    <w:rPr>
      <w:rFonts w:ascii="微软雅黑" w:hAnsi="微软雅黑" w:eastAsia="微软雅黑" w:cs="微软雅黑"/>
      <w:b/>
      <w:color w:val="003764"/>
      <w:sz w:val="22"/>
      <w:szCs w:val="24"/>
      <w:lang w:val="en-GB" w:eastAsia="zh-CN" w:bidi="ar-SA"/>
    </w:rPr>
  </w:style>
  <w:style w:type="character" w:customStyle="1" w:styleId="52">
    <w:name w:val="页脚 字符"/>
    <w:link w:val="11"/>
    <w:qFormat/>
    <w:uiPriority w:val="99"/>
    <w:rPr>
      <w:rFonts w:ascii="Calibri" w:hAnsi="Calibri" w:eastAsia="宋体" w:cs="Times New Roman"/>
      <w:sz w:val="18"/>
      <w:szCs w:val="18"/>
      <w:lang w:bidi="ar-SA"/>
    </w:rPr>
  </w:style>
  <w:style w:type="character" w:customStyle="1" w:styleId="53">
    <w:name w:val="批注框文本 字符"/>
    <w:link w:val="10"/>
    <w:qFormat/>
    <w:uiPriority w:val="0"/>
    <w:rPr>
      <w:kern w:val="2"/>
      <w:sz w:val="18"/>
      <w:szCs w:val="18"/>
    </w:rPr>
  </w:style>
  <w:style w:type="character" w:customStyle="1" w:styleId="54">
    <w:name w:val="正文文本缩进 2 字符"/>
    <w:basedOn w:val="22"/>
    <w:link w:val="9"/>
    <w:qFormat/>
    <w:uiPriority w:val="99"/>
    <w:rPr>
      <w:rFonts w:ascii="Calibri" w:hAnsi="Calibri"/>
      <w:kern w:val="2"/>
      <w:sz w:val="21"/>
      <w:szCs w:val="24"/>
    </w:rPr>
  </w:style>
  <w:style w:type="character" w:customStyle="1" w:styleId="55">
    <w:name w:val="Unresolved Mention"/>
    <w:basedOn w:val="22"/>
    <w:semiHidden/>
    <w:unhideWhenUsed/>
    <w:qFormat/>
    <w:uiPriority w:val="99"/>
    <w:rPr>
      <w:color w:val="605E5C"/>
      <w:shd w:val="clear" w:color="auto" w:fill="E1DFDD"/>
    </w:rPr>
  </w:style>
  <w:style w:type="character" w:customStyle="1" w:styleId="56">
    <w:name w:val="标题 4 字符"/>
    <w:basedOn w:val="22"/>
    <w:link w:val="5"/>
    <w:semiHidden/>
    <w:qFormat/>
    <w:uiPriority w:val="0"/>
    <w:rPr>
      <w:rFonts w:asciiTheme="majorHAnsi" w:hAnsiTheme="majorHAnsi" w:eastAsiaTheme="majorEastAsia" w:cstheme="majorBidi"/>
      <w:b/>
      <w:bCs/>
      <w:kern w:val="2"/>
      <w:sz w:val="28"/>
      <w:szCs w:val="28"/>
    </w:rPr>
  </w:style>
  <w:style w:type="table" w:customStyle="1" w:styleId="5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58">
    <w:name w:val="Table Paragraph"/>
    <w:basedOn w:val="1"/>
    <w:qFormat/>
    <w:uiPriority w:val="1"/>
    <w:pPr>
      <w:autoSpaceDE w:val="0"/>
      <w:autoSpaceDN w:val="0"/>
      <w:jc w:val="left"/>
    </w:pPr>
    <w:rPr>
      <w:rFonts w:ascii="仿宋" w:hAnsi="仿宋" w:eastAsia="仿宋" w:cs="仿宋"/>
      <w:kern w:val="0"/>
      <w:sz w:val="22"/>
      <w:szCs w:val="22"/>
      <w:lang w:eastAsia="en-US"/>
    </w:rPr>
  </w:style>
  <w:style w:type="paragraph" w:customStyle="1" w:styleId="59">
    <w:name w:val="TOC Heading"/>
    <w:basedOn w:val="2"/>
    <w:next w:val="1"/>
    <w:unhideWhenUsed/>
    <w:qFormat/>
    <w:uiPriority w:val="39"/>
    <w:pPr>
      <w:numPr>
        <w:numId w:val="0"/>
      </w:numPr>
      <w:tabs>
        <w:tab w:val="clear" w:pos="360"/>
      </w:tabs>
      <w:spacing w:before="240" w:after="0" w:line="259" w:lineRule="auto"/>
      <w:jc w:val="left"/>
      <w:outlineLvl w:val="9"/>
    </w:pPr>
    <w:rPr>
      <w:rFonts w:asciiTheme="majorHAnsi" w:hAnsiTheme="majorHAnsi" w:eastAsiaTheme="majorEastAsia" w:cstheme="majorBidi"/>
      <w:b w:val="0"/>
      <w:color w:val="376092" w:themeColor="accent1" w:themeShade="BF"/>
      <w:sz w:val="32"/>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FF592F-64BB-4499-95E6-3A22018ED652}">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11761</Words>
  <Characters>12380</Characters>
  <Lines>105</Lines>
  <Paragraphs>29</Paragraphs>
  <TotalTime>15</TotalTime>
  <ScaleCrop>false</ScaleCrop>
  <LinksUpToDate>false</LinksUpToDate>
  <CharactersWithSpaces>12538</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2022-07-19T23:57:00Z</dcterms:created>
  <dc:creator>like</dc:creator>
  <cp:lastModifiedBy>菁菁</cp:lastModifiedBy>
  <cp:lastPrinted>2020-09-03T17:39:00Z</cp:lastPrinted>
  <dcterms:modified xsi:type="dcterms:W3CDTF">2024-10-16T09:43:46Z</dcterms:modified>
  <dc:title>附件2</dc:title>
  <cp:revision>126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BA39807AB2294847ABDF9DFE6F7989DA</vt:lpwstr>
  </property>
</Properties>
</file>